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04" w:rsidRPr="00E05304" w:rsidRDefault="00E05304" w:rsidP="00E05304">
      <w:pPr>
        <w:spacing w:after="0" w:line="240" w:lineRule="auto"/>
        <w:rPr>
          <w:rFonts w:ascii="Arial" w:hAnsi="Arial" w:cs="Arial"/>
          <w:b/>
          <w:szCs w:val="24"/>
          <w:lang w:val="mn-MN"/>
        </w:rPr>
      </w:pPr>
      <w:r w:rsidRPr="00E05304">
        <w:rPr>
          <w:rFonts w:ascii="Arial" w:hAnsi="Arial" w:cs="Arial"/>
          <w:b/>
          <w:szCs w:val="24"/>
          <w:lang w:val="mn-MN"/>
        </w:rPr>
        <w:t>БАТЛАВ.</w:t>
      </w:r>
    </w:p>
    <w:p w:rsidR="00E05304" w:rsidRPr="00E05304" w:rsidRDefault="00E05304" w:rsidP="00E05304">
      <w:pPr>
        <w:spacing w:after="0" w:line="240" w:lineRule="auto"/>
        <w:rPr>
          <w:rFonts w:ascii="Arial" w:hAnsi="Arial" w:cs="Arial"/>
          <w:b/>
          <w:szCs w:val="24"/>
          <w:lang w:val="mn-MN"/>
        </w:rPr>
      </w:pPr>
      <w:r w:rsidRPr="00E05304">
        <w:rPr>
          <w:rFonts w:ascii="Arial" w:hAnsi="Arial" w:cs="Arial"/>
          <w:b/>
          <w:szCs w:val="24"/>
          <w:lang w:val="mn-MN"/>
        </w:rPr>
        <w:t xml:space="preserve">МОНГОЛ УЛСЫН </w:t>
      </w:r>
    </w:p>
    <w:p w:rsidR="00E05304" w:rsidRPr="00E05304" w:rsidRDefault="00E05304" w:rsidP="00E05304">
      <w:pPr>
        <w:spacing w:after="0" w:line="240" w:lineRule="auto"/>
        <w:rPr>
          <w:rFonts w:ascii="Arial" w:hAnsi="Arial" w:cs="Arial"/>
          <w:szCs w:val="24"/>
          <w:lang w:val="mn-MN"/>
        </w:rPr>
      </w:pPr>
      <w:r w:rsidRPr="00E05304">
        <w:rPr>
          <w:rFonts w:ascii="Arial" w:hAnsi="Arial" w:cs="Arial"/>
          <w:b/>
          <w:szCs w:val="24"/>
          <w:lang w:val="mn-MN"/>
        </w:rPr>
        <w:t>ЕРӨНХИЙЛӨГЧ</w:t>
      </w:r>
      <w:r w:rsidRPr="00E05304">
        <w:rPr>
          <w:rFonts w:ascii="Arial" w:hAnsi="Arial" w:cs="Arial"/>
          <w:b/>
          <w:szCs w:val="24"/>
          <w:lang w:val="mn-MN"/>
        </w:rPr>
        <w:tab/>
      </w:r>
      <w:r w:rsidRPr="00E05304">
        <w:rPr>
          <w:rFonts w:ascii="Arial" w:hAnsi="Arial" w:cs="Arial"/>
          <w:b/>
          <w:szCs w:val="24"/>
          <w:lang w:val="mn-MN"/>
        </w:rPr>
        <w:tab/>
      </w:r>
      <w:r w:rsidRPr="00E05304">
        <w:rPr>
          <w:rFonts w:ascii="Arial" w:hAnsi="Arial" w:cs="Arial"/>
          <w:b/>
          <w:szCs w:val="24"/>
          <w:lang w:val="mn-MN"/>
        </w:rPr>
        <w:tab/>
      </w:r>
      <w:r w:rsidRPr="00E05304">
        <w:rPr>
          <w:rFonts w:ascii="Arial" w:hAnsi="Arial" w:cs="Arial"/>
          <w:b/>
          <w:szCs w:val="24"/>
          <w:lang w:val="mn-MN"/>
        </w:rPr>
        <w:tab/>
      </w:r>
      <w:r w:rsidRPr="00E05304">
        <w:rPr>
          <w:rFonts w:ascii="Arial" w:hAnsi="Arial" w:cs="Arial"/>
          <w:b/>
          <w:szCs w:val="24"/>
          <w:lang w:val="mn-MN"/>
        </w:rPr>
        <w:tab/>
      </w:r>
      <w:r w:rsidRPr="00E05304">
        <w:rPr>
          <w:rFonts w:ascii="Arial" w:hAnsi="Arial" w:cs="Arial"/>
          <w:b/>
          <w:szCs w:val="24"/>
          <w:lang w:val="mn-MN"/>
        </w:rPr>
        <w:tab/>
      </w:r>
      <w:r w:rsidRPr="00E05304">
        <w:rPr>
          <w:rFonts w:ascii="Arial" w:hAnsi="Arial" w:cs="Arial"/>
          <w:b/>
          <w:szCs w:val="24"/>
          <w:lang w:val="mn-MN"/>
        </w:rPr>
        <w:tab/>
        <w:t>Х.БАТТУЛГА</w:t>
      </w:r>
    </w:p>
    <w:p w:rsidR="00E05304" w:rsidRDefault="00E05304" w:rsidP="00E05304">
      <w:pPr>
        <w:spacing w:after="0" w:line="240" w:lineRule="auto"/>
        <w:rPr>
          <w:rFonts w:ascii="Arial" w:hAnsi="Arial" w:cs="Arial"/>
          <w:noProof/>
          <w:szCs w:val="24"/>
          <w:lang w:val="mn-MN"/>
        </w:rPr>
      </w:pPr>
    </w:p>
    <w:p w:rsidR="00E05304" w:rsidRDefault="00E05304" w:rsidP="00E05304">
      <w:pPr>
        <w:spacing w:after="0" w:line="240" w:lineRule="auto"/>
        <w:rPr>
          <w:rFonts w:ascii="Arial" w:hAnsi="Arial" w:cs="Arial"/>
          <w:noProof/>
          <w:szCs w:val="24"/>
          <w:lang w:val="mn-MN"/>
        </w:rPr>
      </w:pPr>
    </w:p>
    <w:p w:rsidR="00E05304" w:rsidRPr="00E05304" w:rsidRDefault="00E05304" w:rsidP="00E05304">
      <w:pPr>
        <w:spacing w:after="0" w:line="240" w:lineRule="auto"/>
        <w:rPr>
          <w:rFonts w:ascii="Arial" w:hAnsi="Arial" w:cs="Arial"/>
          <w:noProof/>
          <w:szCs w:val="24"/>
          <w:lang w:val="mn-MN"/>
        </w:rPr>
      </w:pPr>
    </w:p>
    <w:p w:rsidR="00E05304" w:rsidRDefault="00E1287C" w:rsidP="00E05304">
      <w:pPr>
        <w:spacing w:after="0" w:line="240" w:lineRule="auto"/>
        <w:jc w:val="center"/>
        <w:rPr>
          <w:rFonts w:ascii="Arial" w:hAnsi="Arial" w:cs="Arial"/>
          <w:b/>
          <w:noProof/>
          <w:szCs w:val="24"/>
          <w:lang w:val="mn-MN"/>
        </w:rPr>
      </w:pPr>
      <w:r w:rsidRPr="00E05304">
        <w:rPr>
          <w:rFonts w:ascii="Arial" w:hAnsi="Arial" w:cs="Arial"/>
          <w:b/>
          <w:noProof/>
          <w:szCs w:val="24"/>
          <w:lang w:val="mn-MN"/>
        </w:rPr>
        <w:t>МО</w:t>
      </w:r>
      <w:r w:rsidR="00FA49DC" w:rsidRPr="00E05304">
        <w:rPr>
          <w:rFonts w:ascii="Arial" w:hAnsi="Arial" w:cs="Arial"/>
          <w:b/>
          <w:noProof/>
          <w:szCs w:val="24"/>
          <w:lang w:val="mn-MN"/>
        </w:rPr>
        <w:t xml:space="preserve">НГОЛ УЛСЫН ШҮҮХИЙН ТУХАЙ </w:t>
      </w:r>
      <w:r w:rsidRPr="00E05304">
        <w:rPr>
          <w:rFonts w:ascii="Arial" w:hAnsi="Arial" w:cs="Arial"/>
          <w:b/>
          <w:noProof/>
          <w:szCs w:val="24"/>
          <w:lang w:val="mn-MN"/>
        </w:rPr>
        <w:t>ХУУЛИЙН ТӨСЛИЙН</w:t>
      </w:r>
    </w:p>
    <w:p w:rsidR="00E1287C" w:rsidRDefault="00E1287C" w:rsidP="00E05304">
      <w:pPr>
        <w:spacing w:after="0" w:line="240" w:lineRule="auto"/>
        <w:jc w:val="center"/>
        <w:rPr>
          <w:rFonts w:ascii="Arial" w:hAnsi="Arial" w:cs="Arial"/>
          <w:b/>
          <w:noProof/>
          <w:szCs w:val="24"/>
          <w:lang w:val="mn-MN"/>
        </w:rPr>
      </w:pPr>
      <w:r w:rsidRPr="00E05304">
        <w:rPr>
          <w:rFonts w:ascii="Arial" w:hAnsi="Arial" w:cs="Arial"/>
          <w:b/>
          <w:noProof/>
          <w:szCs w:val="24"/>
          <w:lang w:val="mn-MN"/>
        </w:rPr>
        <w:t xml:space="preserve"> ҮЗЭЛ БАРИМТЛАЛ</w:t>
      </w:r>
    </w:p>
    <w:p w:rsidR="00E05304" w:rsidRPr="00E05304" w:rsidRDefault="00E05304" w:rsidP="00E05304">
      <w:pPr>
        <w:spacing w:after="0" w:line="240" w:lineRule="auto"/>
        <w:jc w:val="center"/>
        <w:rPr>
          <w:rFonts w:ascii="Arial" w:hAnsi="Arial" w:cs="Arial"/>
          <w:b/>
          <w:noProof/>
          <w:szCs w:val="24"/>
          <w:lang w:val="mn-MN"/>
        </w:rPr>
      </w:pPr>
    </w:p>
    <w:p w:rsidR="00E1287C" w:rsidRDefault="00E1287C" w:rsidP="00E05304">
      <w:pPr>
        <w:spacing w:after="0" w:line="240" w:lineRule="auto"/>
        <w:ind w:firstLine="720"/>
        <w:rPr>
          <w:rFonts w:ascii="Arial" w:hAnsi="Arial" w:cs="Arial"/>
          <w:b/>
          <w:noProof/>
          <w:szCs w:val="24"/>
          <w:lang w:val="mn-MN"/>
        </w:rPr>
      </w:pPr>
      <w:r w:rsidRPr="00E05304">
        <w:rPr>
          <w:rFonts w:ascii="Arial" w:hAnsi="Arial" w:cs="Arial"/>
          <w:b/>
          <w:noProof/>
          <w:szCs w:val="24"/>
          <w:lang w:val="mn-MN"/>
        </w:rPr>
        <w:t>Нэг.</w:t>
      </w:r>
      <w:r w:rsidR="00FA49DC" w:rsidRPr="00E05304">
        <w:rPr>
          <w:rFonts w:ascii="Arial" w:hAnsi="Arial" w:cs="Arial"/>
          <w:b/>
          <w:noProof/>
          <w:szCs w:val="24"/>
          <w:lang w:val="mn-MN"/>
        </w:rPr>
        <w:t xml:space="preserve"> </w:t>
      </w:r>
      <w:r w:rsidRPr="00E05304">
        <w:rPr>
          <w:rFonts w:ascii="Arial" w:hAnsi="Arial" w:cs="Arial"/>
          <w:b/>
          <w:noProof/>
          <w:szCs w:val="24"/>
          <w:lang w:val="mn-MN"/>
        </w:rPr>
        <w:t>Хуулийн төс</w:t>
      </w:r>
      <w:r w:rsidR="00FA49DC" w:rsidRPr="00E05304">
        <w:rPr>
          <w:rFonts w:ascii="Arial" w:hAnsi="Arial" w:cs="Arial"/>
          <w:b/>
          <w:noProof/>
          <w:szCs w:val="24"/>
          <w:lang w:val="mn-MN"/>
        </w:rPr>
        <w:t>ө</w:t>
      </w:r>
      <w:r w:rsidRPr="00E05304">
        <w:rPr>
          <w:rFonts w:ascii="Arial" w:hAnsi="Arial" w:cs="Arial"/>
          <w:b/>
          <w:noProof/>
          <w:szCs w:val="24"/>
          <w:lang w:val="mn-MN"/>
        </w:rPr>
        <w:t>л боловсруулах үндэслэл</w:t>
      </w:r>
      <w:r w:rsidR="00FA49DC" w:rsidRPr="00E05304">
        <w:rPr>
          <w:rFonts w:ascii="Arial" w:hAnsi="Arial" w:cs="Arial"/>
          <w:b/>
          <w:noProof/>
          <w:szCs w:val="24"/>
          <w:lang w:val="mn-MN"/>
        </w:rPr>
        <w:t>,</w:t>
      </w:r>
      <w:r w:rsidRPr="00E05304">
        <w:rPr>
          <w:rFonts w:ascii="Arial" w:hAnsi="Arial" w:cs="Arial"/>
          <w:b/>
          <w:noProof/>
          <w:szCs w:val="24"/>
          <w:lang w:val="mn-MN"/>
        </w:rPr>
        <w:t xml:space="preserve"> шаардлага</w:t>
      </w:r>
    </w:p>
    <w:p w:rsidR="00E05304" w:rsidRPr="00E05304" w:rsidRDefault="00E05304" w:rsidP="00E05304">
      <w:pPr>
        <w:spacing w:after="0" w:line="240" w:lineRule="auto"/>
        <w:ind w:firstLine="720"/>
        <w:rPr>
          <w:rFonts w:ascii="Arial" w:hAnsi="Arial" w:cs="Arial"/>
          <w:b/>
          <w:noProof/>
          <w:szCs w:val="24"/>
          <w:lang w:val="mn-MN"/>
        </w:rPr>
      </w:pPr>
    </w:p>
    <w:p w:rsidR="00E1287C" w:rsidRDefault="00FA49DC" w:rsidP="00E05304">
      <w:pPr>
        <w:spacing w:after="0" w:line="240" w:lineRule="auto"/>
        <w:ind w:firstLine="720"/>
        <w:jc w:val="both"/>
        <w:rPr>
          <w:rFonts w:ascii="Arial" w:hAnsi="Arial" w:cs="Arial"/>
          <w:b/>
          <w:noProof/>
          <w:szCs w:val="24"/>
          <w:lang w:val="mn-MN"/>
        </w:rPr>
      </w:pPr>
      <w:r w:rsidRPr="00E05304">
        <w:rPr>
          <w:rFonts w:ascii="Arial" w:hAnsi="Arial" w:cs="Arial"/>
          <w:b/>
          <w:noProof/>
          <w:szCs w:val="24"/>
          <w:lang w:val="mn-MN"/>
        </w:rPr>
        <w:t>1.1.</w:t>
      </w:r>
      <w:r w:rsidR="00E1287C" w:rsidRPr="00E05304">
        <w:rPr>
          <w:rFonts w:ascii="Arial" w:hAnsi="Arial" w:cs="Arial"/>
          <w:b/>
          <w:noProof/>
          <w:szCs w:val="24"/>
          <w:lang w:val="mn-MN"/>
        </w:rPr>
        <w:t>Хууль зүйн үндэслэл</w:t>
      </w:r>
      <w:r w:rsidRPr="00E05304">
        <w:rPr>
          <w:rFonts w:ascii="Arial" w:hAnsi="Arial" w:cs="Arial"/>
          <w:b/>
          <w:noProof/>
          <w:szCs w:val="24"/>
          <w:lang w:val="mn-MN"/>
        </w:rPr>
        <w:t>:</w:t>
      </w:r>
    </w:p>
    <w:p w:rsidR="00E05304" w:rsidRPr="00E05304" w:rsidRDefault="00E05304" w:rsidP="00E05304">
      <w:pPr>
        <w:spacing w:after="0" w:line="240" w:lineRule="auto"/>
        <w:ind w:firstLine="720"/>
        <w:jc w:val="both"/>
        <w:rPr>
          <w:rFonts w:ascii="Arial" w:hAnsi="Arial" w:cs="Arial"/>
          <w:b/>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Монгол Улсын Их Хурлаас 2019 оны 11 дүгээр сарын 14-ний өдөр</w:t>
      </w:r>
      <w:r w:rsidR="00773C1E" w:rsidRPr="00E05304">
        <w:rPr>
          <w:rFonts w:ascii="Arial" w:hAnsi="Arial" w:cs="Arial"/>
          <w:noProof/>
          <w:szCs w:val="24"/>
          <w:lang w:val="mn-MN"/>
        </w:rPr>
        <w:t xml:space="preserve"> Монгол Улсын Үндсэн хуулийн 48 дугаар зүйлийн 1 дэх хэсэг, 49 дүгээр зүйлийн 5 дахь хэсэгт тус тус </w:t>
      </w:r>
      <w:r w:rsidRPr="00E05304">
        <w:rPr>
          <w:rFonts w:ascii="Arial" w:hAnsi="Arial" w:cs="Arial"/>
          <w:noProof/>
          <w:szCs w:val="24"/>
          <w:lang w:val="mn-MN"/>
        </w:rPr>
        <w:t>оруулсан нэмэлт, өөрчлөлтө</w:t>
      </w:r>
      <w:r w:rsidR="00946601" w:rsidRPr="00E05304">
        <w:rPr>
          <w:rFonts w:ascii="Arial" w:hAnsi="Arial" w:cs="Arial"/>
          <w:noProof/>
          <w:szCs w:val="24"/>
          <w:lang w:val="mn-MN"/>
        </w:rPr>
        <w:t xml:space="preserve">өр </w:t>
      </w:r>
      <w:r w:rsidRPr="00E05304">
        <w:rPr>
          <w:rFonts w:ascii="Arial" w:hAnsi="Arial" w:cs="Arial"/>
          <w:noProof/>
          <w:szCs w:val="24"/>
          <w:lang w:val="mn-MN"/>
        </w:rPr>
        <w:t>шүүхийг тойргийн зарчмаар байгуулж болох</w:t>
      </w:r>
      <w:r w:rsidR="00432BBD" w:rsidRPr="00E05304">
        <w:rPr>
          <w:rFonts w:ascii="Arial" w:hAnsi="Arial" w:cs="Arial"/>
          <w:noProof/>
          <w:szCs w:val="24"/>
        </w:rPr>
        <w:t xml:space="preserve">; </w:t>
      </w:r>
      <w:r w:rsidR="00432BBD" w:rsidRPr="00E05304">
        <w:rPr>
          <w:rFonts w:ascii="Arial" w:hAnsi="Arial" w:cs="Arial"/>
          <w:iCs/>
          <w:noProof/>
          <w:szCs w:val="24"/>
        </w:rPr>
        <w:t xml:space="preserve">Шүүхийн ерөнхий зөвлөлийн зохион байгуулалт, үйл ажиллагааны журам, бүрэлдэхүүнд тавих шаардлага, томилох журмыг </w:t>
      </w:r>
      <w:r w:rsidR="00432BBD" w:rsidRPr="00E05304">
        <w:rPr>
          <w:rFonts w:ascii="Arial" w:hAnsi="Arial" w:cs="Arial"/>
          <w:noProof/>
          <w:szCs w:val="24"/>
          <w:lang w:val="mn-MN"/>
        </w:rPr>
        <w:t>Монгол Улсын шүүхийн тухай хууль</w:t>
      </w:r>
      <w:r w:rsidR="00946601" w:rsidRPr="00E05304">
        <w:rPr>
          <w:rFonts w:ascii="Arial" w:hAnsi="Arial" w:cs="Arial"/>
          <w:noProof/>
          <w:szCs w:val="24"/>
          <w:lang w:val="mn-MN"/>
        </w:rPr>
        <w:t xml:space="preserve">д тусгах </w:t>
      </w:r>
      <w:r w:rsidRPr="00E05304">
        <w:rPr>
          <w:rFonts w:ascii="Arial" w:hAnsi="Arial" w:cs="Arial"/>
          <w:noProof/>
          <w:szCs w:val="24"/>
          <w:lang w:val="mn-MN"/>
        </w:rPr>
        <w:t xml:space="preserve">шаардлага </w:t>
      </w:r>
      <w:r w:rsidR="00432BBD" w:rsidRPr="00E05304">
        <w:rPr>
          <w:rFonts w:ascii="Arial" w:hAnsi="Arial" w:cs="Arial"/>
          <w:noProof/>
          <w:szCs w:val="24"/>
          <w:lang w:val="mn-MN"/>
        </w:rPr>
        <w:t>бий болгосон</w:t>
      </w:r>
      <w:r w:rsidRPr="00E05304">
        <w:rPr>
          <w:rFonts w:ascii="Arial" w:hAnsi="Arial" w:cs="Arial"/>
          <w:noProof/>
          <w:szCs w:val="24"/>
          <w:lang w:val="mn-MN"/>
        </w:rPr>
        <w:t>.</w:t>
      </w:r>
    </w:p>
    <w:p w:rsidR="00E05304" w:rsidRPr="00E05304" w:rsidRDefault="00E05304" w:rsidP="00E05304">
      <w:pPr>
        <w:spacing w:after="0" w:line="240" w:lineRule="auto"/>
        <w:ind w:firstLine="720"/>
        <w:jc w:val="both"/>
        <w:rPr>
          <w:rFonts w:ascii="Arial" w:hAnsi="Arial" w:cs="Arial"/>
          <w:noProof/>
          <w:szCs w:val="24"/>
          <w:lang w:val="mn-MN"/>
        </w:rPr>
      </w:pPr>
    </w:p>
    <w:p w:rsidR="000D5D88"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Дээрх өөрчлөлттэй холбогдуулан 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w:t>
      </w:r>
      <w:r w:rsidR="000D5D88" w:rsidRPr="00E05304">
        <w:rPr>
          <w:rFonts w:ascii="Arial" w:hAnsi="Arial" w:cs="Arial"/>
          <w:noProof/>
          <w:szCs w:val="24"/>
          <w:lang w:val="mn-MN"/>
        </w:rPr>
        <w:t xml:space="preserve">т </w:t>
      </w:r>
    </w:p>
    <w:p w:rsidR="00E05304" w:rsidRPr="00E05304" w:rsidRDefault="00E05304" w:rsidP="00E05304">
      <w:pPr>
        <w:spacing w:after="0" w:line="240" w:lineRule="auto"/>
        <w:ind w:firstLine="720"/>
        <w:jc w:val="both"/>
        <w:rPr>
          <w:rFonts w:ascii="Arial" w:hAnsi="Arial" w:cs="Arial"/>
          <w:noProof/>
          <w:szCs w:val="24"/>
          <w:lang w:val="mn-MN"/>
        </w:rPr>
      </w:pPr>
    </w:p>
    <w:p w:rsidR="000D5D88" w:rsidRPr="00E05304" w:rsidRDefault="000D5D88" w:rsidP="00E05304">
      <w:pPr>
        <w:pStyle w:val="ListParagraph"/>
        <w:numPr>
          <w:ilvl w:val="0"/>
          <w:numId w:val="4"/>
        </w:numPr>
        <w:spacing w:after="0" w:line="240" w:lineRule="auto"/>
        <w:jc w:val="both"/>
        <w:rPr>
          <w:rFonts w:ascii="Arial" w:hAnsi="Arial" w:cs="Arial"/>
          <w:noProof/>
          <w:szCs w:val="24"/>
          <w:lang w:val="mn-MN"/>
        </w:rPr>
      </w:pPr>
      <w:r w:rsidRPr="00E05304">
        <w:rPr>
          <w:rFonts w:ascii="Arial" w:hAnsi="Arial" w:cs="Arial"/>
          <w:noProof/>
          <w:szCs w:val="24"/>
          <w:lang w:val="mn-MN"/>
        </w:rPr>
        <w:t xml:space="preserve">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шүүхийн үйлчилгээг иргэдэд ойртуулж хүртээмжтэй болгох үндсэн зарчимд нийцүүлэх; </w:t>
      </w:r>
    </w:p>
    <w:p w:rsidR="000D5D88" w:rsidRPr="00E05304" w:rsidRDefault="000D5D88" w:rsidP="00E05304">
      <w:pPr>
        <w:pStyle w:val="ListParagraph"/>
        <w:numPr>
          <w:ilvl w:val="0"/>
          <w:numId w:val="4"/>
        </w:numPr>
        <w:spacing w:after="0" w:line="240" w:lineRule="auto"/>
        <w:jc w:val="both"/>
        <w:rPr>
          <w:rFonts w:ascii="Arial" w:hAnsi="Arial" w:cs="Arial"/>
          <w:noProof/>
          <w:szCs w:val="24"/>
          <w:lang w:val="mn-MN"/>
        </w:rPr>
      </w:pPr>
      <w:r w:rsidRPr="00E05304">
        <w:rPr>
          <w:rFonts w:ascii="Arial" w:hAnsi="Arial" w:cs="Arial"/>
          <w:noProof/>
          <w:szCs w:val="24"/>
          <w:lang w:val="mn-MN"/>
        </w:rPr>
        <w:t>шүүхийн бүтэц, зохион байгуулалт өөрчлөгдөх, тойргийн зарчмаар шүүх байгуулах нь шүүгчийг өөрийнх нь зөвшөөрөлгүйгээр чөлөөлөх, шилжүүлэх үндэслэл болохгүй байх зохицуулалтыг хуульчлах</w:t>
      </w:r>
      <w:r w:rsidR="008E31D3" w:rsidRPr="00E05304">
        <w:rPr>
          <w:rFonts w:ascii="Arial" w:hAnsi="Arial" w:cs="Arial"/>
          <w:noProof/>
          <w:szCs w:val="24"/>
        </w:rPr>
        <w:t>;</w:t>
      </w:r>
    </w:p>
    <w:p w:rsidR="008E31D3" w:rsidRPr="00E05304" w:rsidRDefault="000D5D88" w:rsidP="00E05304">
      <w:pPr>
        <w:pStyle w:val="ListParagraph"/>
        <w:numPr>
          <w:ilvl w:val="0"/>
          <w:numId w:val="4"/>
        </w:numPr>
        <w:spacing w:after="0" w:line="240" w:lineRule="auto"/>
        <w:jc w:val="both"/>
        <w:rPr>
          <w:rFonts w:ascii="Arial" w:hAnsi="Arial" w:cs="Arial"/>
          <w:noProof/>
          <w:szCs w:val="24"/>
          <w:lang w:val="mn-MN"/>
        </w:rPr>
      </w:pPr>
      <w:r w:rsidRPr="00E05304">
        <w:rPr>
          <w:rFonts w:ascii="Arial" w:hAnsi="Arial" w:cs="Arial"/>
          <w:noProof/>
          <w:szCs w:val="24"/>
          <w:lang w:val="mn-MN"/>
        </w:rPr>
        <w:t xml:space="preserve">Шүүхийн ерөнхий зөвлөлийн бие даасан, хараат бус, тогтвортой байдлыг хангах зорилгоор түүний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 </w:t>
      </w:r>
    </w:p>
    <w:p w:rsidR="008E31D3" w:rsidRPr="00E05304" w:rsidRDefault="000D5D88" w:rsidP="00E05304">
      <w:pPr>
        <w:pStyle w:val="ListParagraph"/>
        <w:numPr>
          <w:ilvl w:val="0"/>
          <w:numId w:val="4"/>
        </w:numPr>
        <w:spacing w:after="0" w:line="240" w:lineRule="auto"/>
        <w:jc w:val="both"/>
        <w:rPr>
          <w:rFonts w:ascii="Arial" w:hAnsi="Arial" w:cs="Arial"/>
          <w:noProof/>
          <w:szCs w:val="24"/>
          <w:lang w:val="mn-MN"/>
        </w:rPr>
      </w:pPr>
      <w:r w:rsidRPr="00E05304">
        <w:rPr>
          <w:rFonts w:ascii="Arial" w:hAnsi="Arial" w:cs="Arial"/>
          <w:noProof/>
          <w:szCs w:val="24"/>
          <w:lang w:val="mn-MN"/>
        </w:rPr>
        <w:t>шүүгчийн хараат бус байдлыг хангахтай холбоотой Шүүхийн ерөнхий зөвлөлийн үйл ажиллагааны тайланг Улсын дээд шүүхэд танилцуулах зохицуулалтыг хуульчлах</w:t>
      </w:r>
      <w:r w:rsidR="008E31D3" w:rsidRPr="00E05304">
        <w:rPr>
          <w:rFonts w:ascii="Arial" w:hAnsi="Arial" w:cs="Arial"/>
          <w:noProof/>
          <w:szCs w:val="24"/>
          <w:lang w:val="mn-MN"/>
        </w:rPr>
        <w:t xml:space="preserve"> </w:t>
      </w:r>
    </w:p>
    <w:p w:rsid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гэж </w:t>
      </w:r>
      <w:r w:rsidR="00E853D5" w:rsidRPr="00E05304">
        <w:rPr>
          <w:rFonts w:ascii="Arial" w:hAnsi="Arial" w:cs="Arial"/>
          <w:noProof/>
          <w:szCs w:val="24"/>
          <w:lang w:val="mn-MN"/>
        </w:rPr>
        <w:t xml:space="preserve">тус тус </w:t>
      </w:r>
      <w:r w:rsidRPr="00E05304">
        <w:rPr>
          <w:rFonts w:ascii="Arial" w:hAnsi="Arial" w:cs="Arial"/>
          <w:noProof/>
          <w:szCs w:val="24"/>
          <w:lang w:val="mn-MN"/>
        </w:rPr>
        <w:t>заасан</w:t>
      </w:r>
      <w:r w:rsidR="00432BBD" w:rsidRPr="00E05304">
        <w:rPr>
          <w:rFonts w:ascii="Arial" w:hAnsi="Arial" w:cs="Arial"/>
          <w:noProof/>
          <w:szCs w:val="24"/>
          <w:lang w:val="mn-MN"/>
        </w:rPr>
        <w:t xml:space="preserve"> нь</w:t>
      </w:r>
      <w:r w:rsidR="00432BBD" w:rsidRPr="00E05304">
        <w:rPr>
          <w:rFonts w:ascii="Arial" w:hAnsi="Arial" w:cs="Arial"/>
          <w:szCs w:val="24"/>
        </w:rPr>
        <w:t xml:space="preserve"> </w:t>
      </w:r>
      <w:r w:rsidR="00432BBD" w:rsidRPr="00E05304">
        <w:rPr>
          <w:rFonts w:ascii="Arial" w:hAnsi="Arial" w:cs="Arial"/>
          <w:noProof/>
          <w:szCs w:val="24"/>
          <w:lang w:val="mn-MN"/>
        </w:rPr>
        <w:t>Монгол Улсын шүүхийн тухай хуулийн шинэчилсэн найруулгын агуулга, зохицуулалтыг тодорхойлох чиглэл болж байна</w:t>
      </w:r>
      <w:r w:rsidRPr="00E05304">
        <w:rPr>
          <w:rFonts w:ascii="Arial" w:hAnsi="Arial" w:cs="Arial"/>
          <w:noProof/>
          <w:szCs w:val="24"/>
          <w:lang w:val="mn-MN"/>
        </w:rPr>
        <w:t>.</w:t>
      </w:r>
    </w:p>
    <w:p w:rsidR="00E05304" w:rsidRPr="00E05304" w:rsidRDefault="00E05304" w:rsidP="00E05304">
      <w:pPr>
        <w:spacing w:after="0" w:line="240" w:lineRule="auto"/>
        <w:ind w:firstLine="720"/>
        <w:jc w:val="both"/>
        <w:rPr>
          <w:rFonts w:ascii="Arial" w:hAnsi="Arial" w:cs="Arial"/>
          <w:noProof/>
          <w:szCs w:val="24"/>
          <w:lang w:val="mn-MN"/>
        </w:rPr>
      </w:pPr>
    </w:p>
    <w:p w:rsidR="00E853D5" w:rsidRDefault="00432BBD"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Түүнчлэн, шүүхийг тойргийн </w:t>
      </w:r>
      <w:r w:rsidR="00E853D5" w:rsidRPr="00E05304">
        <w:rPr>
          <w:rFonts w:ascii="Arial" w:hAnsi="Arial" w:cs="Arial"/>
          <w:noProof/>
          <w:szCs w:val="24"/>
          <w:lang w:val="mn-MN"/>
        </w:rPr>
        <w:t>зарчмаар байгуулах, шүүхийн бие даасан, шүүгчийн хараат бус байдлыг хангахад чиглэсэн Монгол Улсын Үндсэн хуулийн нэмэлт, өөрчлөлт нь шүүгчийн эрх зүйн байдал, сахилга, хариуцлагатай холбоотойгоос бусад асуудлыг цогцоор нь Монгол Улсын шүүхийн тухай хуулийн шинэчилсэн найруулгад тусгах нөхцөл болж байна.</w:t>
      </w:r>
    </w:p>
    <w:p w:rsidR="00E05304" w:rsidRP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НҮБ-ын Ерөнхий Ассамблейгаас </w:t>
      </w:r>
      <w:r w:rsidR="00E853D5" w:rsidRPr="00E05304">
        <w:rPr>
          <w:rFonts w:ascii="Arial" w:hAnsi="Arial" w:cs="Arial"/>
          <w:noProof/>
          <w:szCs w:val="24"/>
          <w:lang w:val="mn-MN"/>
        </w:rPr>
        <w:t xml:space="preserve">1985 онд сайшаан баталсан </w:t>
      </w:r>
      <w:r w:rsidRPr="00E05304">
        <w:rPr>
          <w:rFonts w:ascii="Arial" w:hAnsi="Arial" w:cs="Arial"/>
          <w:noProof/>
          <w:szCs w:val="24"/>
          <w:lang w:val="mn-MN"/>
        </w:rPr>
        <w:t xml:space="preserve">Шүүхийн бие даасан байдлын талаарх НҮБ-ын үндсэн зарчмуудын 7-д “Гишүүн улс нь шүүхийг </w:t>
      </w:r>
      <w:r w:rsidRPr="00E05304">
        <w:rPr>
          <w:rFonts w:ascii="Arial" w:hAnsi="Arial" w:cs="Arial"/>
          <w:noProof/>
          <w:szCs w:val="24"/>
          <w:lang w:val="mn-MN"/>
        </w:rPr>
        <w:lastRenderedPageBreak/>
        <w:t>үндсэн чиг үүргээ зохих ёсоор хэрэгжүүлэхэд шаардлагатай хангалттай нөөц, эх үүсвэрээр хангах үүрэгтэй”, 13-д “Шүүгчийг дэмжих буюу дэвшүүлэх тогтолцоо нь бодит хүчин зүйл, эзэмшсэн байх ур чадвар, туршлагад суурилсан байх ёстой” гэжээ.</w:t>
      </w:r>
    </w:p>
    <w:p w:rsidR="00E05304" w:rsidRP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Монгол Улсын Үндсэн хуульд оруулсан нэмэлт, өөрчлөлт болон холбогдох бусад бодлогын баримт бичигт тусгасан зорилт, арга хэмжээг хэрэгжүүлэх үүднээс Хууль тогтоомжийн тухай хуульд заасны дагуу хууль тогтоомжийн хэрэгжилтийн үр дагаврын үнэлгээг 2012 он</w:t>
      </w:r>
      <w:r w:rsidR="00946601" w:rsidRPr="00E05304">
        <w:rPr>
          <w:rFonts w:ascii="Arial" w:hAnsi="Arial" w:cs="Arial"/>
          <w:noProof/>
          <w:szCs w:val="24"/>
          <w:lang w:val="mn-MN"/>
        </w:rPr>
        <w:t xml:space="preserve">д батлагдсан </w:t>
      </w:r>
      <w:r w:rsidRPr="00E05304">
        <w:rPr>
          <w:rFonts w:ascii="Arial" w:hAnsi="Arial" w:cs="Arial"/>
          <w:noProof/>
          <w:szCs w:val="24"/>
          <w:lang w:val="mn-MN"/>
        </w:rPr>
        <w:t>Монгол Улсын Шүүхийн тухай хуульд хийж энэхүү хуулийг боловсронгуй болгох хэрэгцээ</w:t>
      </w:r>
      <w:r w:rsidR="00946601" w:rsidRPr="00E05304">
        <w:rPr>
          <w:rFonts w:ascii="Arial" w:hAnsi="Arial" w:cs="Arial"/>
          <w:noProof/>
          <w:szCs w:val="24"/>
          <w:lang w:val="mn-MN"/>
        </w:rPr>
        <w:t>,</w:t>
      </w:r>
      <w:r w:rsidRPr="00E05304">
        <w:rPr>
          <w:rFonts w:ascii="Arial" w:hAnsi="Arial" w:cs="Arial"/>
          <w:noProof/>
          <w:szCs w:val="24"/>
          <w:lang w:val="mn-MN"/>
        </w:rPr>
        <w:t xml:space="preserve"> шаардлагын талаар тодорхой дүгнэлт, санал гарсан болно. Үүнд:</w:t>
      </w:r>
    </w:p>
    <w:p w:rsidR="00E05304" w:rsidRPr="00E05304" w:rsidRDefault="00E05304" w:rsidP="00E05304">
      <w:pPr>
        <w:spacing w:after="0" w:line="240" w:lineRule="auto"/>
        <w:ind w:firstLine="720"/>
        <w:jc w:val="both"/>
        <w:rPr>
          <w:rFonts w:ascii="Arial" w:hAnsi="Arial" w:cs="Arial"/>
          <w:noProof/>
          <w:szCs w:val="24"/>
          <w:lang w:val="mn-MN"/>
        </w:rPr>
      </w:pPr>
    </w:p>
    <w:p w:rsidR="00E1287C" w:rsidRPr="00E05304" w:rsidRDefault="00E1287C" w:rsidP="00E05304">
      <w:pPr>
        <w:pStyle w:val="ListParagraph"/>
        <w:numPr>
          <w:ilvl w:val="0"/>
          <w:numId w:val="2"/>
        </w:numPr>
        <w:spacing w:after="0" w:line="240" w:lineRule="auto"/>
        <w:jc w:val="both"/>
        <w:rPr>
          <w:rFonts w:ascii="Arial" w:hAnsi="Arial" w:cs="Arial"/>
          <w:noProof/>
          <w:szCs w:val="24"/>
          <w:lang w:val="mn-MN"/>
        </w:rPr>
      </w:pPr>
      <w:r w:rsidRPr="00E05304">
        <w:rPr>
          <w:rFonts w:ascii="Arial" w:hAnsi="Arial" w:cs="Arial"/>
          <w:noProof/>
          <w:szCs w:val="24"/>
          <w:lang w:val="mn-MN"/>
        </w:rPr>
        <w:t xml:space="preserve">Шүүхийн тогтолцоонд “тойргийн” зарчмыг нэвтрүүлэх, шүүхийг хэрэг маргааны төрлөөр дагнан байгуулах нь шүүхийн харилцан адилгүй ачааллыг бууруулах, шүүх, шүүгчийг мэргэшүүлэх, мэргэшсэн шүүгчээр хэрэг маргаанаа шийдвэрлүүлэх эрх зүйн үндсийг бүрдүүлэхэд чухал ач холбогдолтой. </w:t>
      </w:r>
    </w:p>
    <w:p w:rsidR="00E1287C" w:rsidRPr="00E05304" w:rsidRDefault="00E1287C" w:rsidP="00E05304">
      <w:pPr>
        <w:pStyle w:val="ListParagraph"/>
        <w:numPr>
          <w:ilvl w:val="0"/>
          <w:numId w:val="2"/>
        </w:numPr>
        <w:spacing w:after="0" w:line="240" w:lineRule="auto"/>
        <w:jc w:val="both"/>
        <w:rPr>
          <w:rFonts w:ascii="Arial" w:hAnsi="Arial" w:cs="Arial"/>
          <w:noProof/>
          <w:szCs w:val="24"/>
          <w:lang w:val="mn-MN"/>
        </w:rPr>
      </w:pPr>
      <w:r w:rsidRPr="00E05304">
        <w:rPr>
          <w:rFonts w:ascii="Arial" w:hAnsi="Arial" w:cs="Arial"/>
          <w:noProof/>
          <w:szCs w:val="24"/>
          <w:lang w:val="mn-MN"/>
        </w:rPr>
        <w:t xml:space="preserve">Шүүхийн тухай хуульд тусгасан эдийн засгийн баталгааг хангахын тулд дараах арга хэмжээг авах шаардлагатай гэж үзэж байна: а. Монгол Улсын шүүхийн эдийн засгийн баталгааг хангах үүднээс шүүхийн төсвийн улсын нэгдсэн төсөвт эзлэх хувийн доод хэмжээг холбогдох хуульд тусгах. б.Үндсэн хуулийн Дөчин наймдугаар зүйлийн 3 дахь хэсэгт “Шүүх улсын төсвөөс санхүүжинэ. Шүүх үйл ажиллагаагаа явуулах эдийн засгийн баталгааг төр хангана” гэж заасан боловч шүүхийн хууль тогтоомжид эдийн засгийн баталгааг хангах арга замыг бусад хуультай уялдуулж зохицуулаагүйн улмаас шүүхийн төсвийг бууруулж батлахад хүргэж байна. </w:t>
      </w:r>
    </w:p>
    <w:p w:rsidR="00E1287C" w:rsidRPr="00E05304" w:rsidRDefault="00E1287C" w:rsidP="00E05304">
      <w:pPr>
        <w:pStyle w:val="ListParagraph"/>
        <w:numPr>
          <w:ilvl w:val="0"/>
          <w:numId w:val="2"/>
        </w:numPr>
        <w:spacing w:after="0" w:line="240" w:lineRule="auto"/>
        <w:jc w:val="both"/>
        <w:rPr>
          <w:rFonts w:ascii="Arial" w:hAnsi="Arial" w:cs="Arial"/>
          <w:noProof/>
          <w:szCs w:val="24"/>
          <w:lang w:val="mn-MN"/>
        </w:rPr>
      </w:pPr>
      <w:r w:rsidRPr="00E05304">
        <w:rPr>
          <w:rFonts w:ascii="Arial" w:hAnsi="Arial" w:cs="Arial"/>
          <w:noProof/>
          <w:szCs w:val="24"/>
          <w:lang w:val="mn-MN"/>
        </w:rPr>
        <w:t>Шүүхийн ил тод, нээлттэй байдал сайжирч байгаа боловч шүүхийн шийдвэрийн чанарыг сайжруулах, шүүх эрх мэдлийг бэхжүүлэх арга зам нь тодорхой бус байна.</w:t>
      </w:r>
    </w:p>
    <w:p w:rsid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Иймд Монгол Улсын Үндсэн хуульд оруулсан нэмэлт, өөрчлөлт болон дээр дурдсан бодлогын баримт бичигт тусгасан зорилт, арга хэмжээг хэрэгжүүлэх зорилгоор Монгол Улсын Шүүхийн тухай хуул</w:t>
      </w:r>
      <w:r w:rsidR="00537397" w:rsidRPr="00E05304">
        <w:rPr>
          <w:rFonts w:ascii="Arial" w:hAnsi="Arial" w:cs="Arial"/>
          <w:noProof/>
          <w:szCs w:val="24"/>
          <w:lang w:val="mn-MN"/>
        </w:rPr>
        <w:t xml:space="preserve">ийн шинэчилсэн найруулгын </w:t>
      </w:r>
      <w:r w:rsidRPr="00E05304">
        <w:rPr>
          <w:rFonts w:ascii="Arial" w:hAnsi="Arial" w:cs="Arial"/>
          <w:noProof/>
          <w:szCs w:val="24"/>
          <w:lang w:val="mn-MN"/>
        </w:rPr>
        <w:t>төслийг боловсруулна.</w:t>
      </w:r>
    </w:p>
    <w:p w:rsidR="00E05304" w:rsidRPr="00E05304" w:rsidRDefault="00E05304" w:rsidP="00E05304">
      <w:pPr>
        <w:spacing w:after="0" w:line="240" w:lineRule="auto"/>
        <w:ind w:firstLine="720"/>
        <w:jc w:val="both"/>
        <w:rPr>
          <w:rFonts w:ascii="Arial" w:hAnsi="Arial" w:cs="Arial"/>
          <w:noProof/>
          <w:szCs w:val="24"/>
          <w:lang w:val="mn-MN"/>
        </w:rPr>
      </w:pPr>
    </w:p>
    <w:p w:rsidR="00E1287C" w:rsidRPr="00E05304" w:rsidRDefault="00FA49DC" w:rsidP="00E05304">
      <w:pPr>
        <w:spacing w:after="0" w:line="240" w:lineRule="auto"/>
        <w:ind w:firstLine="720"/>
        <w:jc w:val="both"/>
        <w:rPr>
          <w:rFonts w:ascii="Arial" w:hAnsi="Arial" w:cs="Arial"/>
          <w:b/>
          <w:noProof/>
          <w:szCs w:val="24"/>
          <w:lang w:val="mn-MN"/>
        </w:rPr>
      </w:pPr>
      <w:r w:rsidRPr="00E05304">
        <w:rPr>
          <w:rFonts w:ascii="Arial" w:hAnsi="Arial" w:cs="Arial"/>
          <w:b/>
          <w:noProof/>
          <w:szCs w:val="24"/>
          <w:lang w:val="mn-MN"/>
        </w:rPr>
        <w:t>1.2</w:t>
      </w:r>
      <w:r w:rsidR="00E1287C" w:rsidRPr="00E05304">
        <w:rPr>
          <w:rFonts w:ascii="Arial" w:hAnsi="Arial" w:cs="Arial"/>
          <w:b/>
          <w:noProof/>
          <w:szCs w:val="24"/>
          <w:lang w:val="mn-MN"/>
        </w:rPr>
        <w:t>. Практик шаардлага</w:t>
      </w:r>
      <w:r w:rsidRPr="00E05304">
        <w:rPr>
          <w:rFonts w:ascii="Arial" w:hAnsi="Arial" w:cs="Arial"/>
          <w:b/>
          <w:noProof/>
          <w:szCs w:val="24"/>
          <w:lang w:val="mn-MN"/>
        </w:rPr>
        <w:t>:</w:t>
      </w:r>
    </w:p>
    <w:p w:rsidR="00E05304" w:rsidRDefault="00E05304" w:rsidP="00E05304">
      <w:pPr>
        <w:spacing w:after="0" w:line="240" w:lineRule="auto"/>
        <w:ind w:firstLine="720"/>
        <w:jc w:val="both"/>
        <w:rPr>
          <w:rFonts w:ascii="Arial" w:hAnsi="Arial" w:cs="Arial"/>
          <w:szCs w:val="24"/>
          <w:lang w:val="mn-MN"/>
        </w:rPr>
      </w:pPr>
    </w:p>
    <w:p w:rsidR="00E05304" w:rsidRDefault="00E05304" w:rsidP="00E05304">
      <w:pPr>
        <w:spacing w:after="0" w:line="240" w:lineRule="auto"/>
        <w:ind w:firstLine="720"/>
        <w:jc w:val="both"/>
        <w:rPr>
          <w:rFonts w:ascii="Arial" w:hAnsi="Arial" w:cs="Arial"/>
          <w:szCs w:val="24"/>
          <w:lang w:val="mn-MN"/>
        </w:rPr>
      </w:pPr>
      <w:r>
        <w:rPr>
          <w:rFonts w:ascii="Arial" w:hAnsi="Arial" w:cs="Arial"/>
          <w:szCs w:val="24"/>
          <w:lang w:val="mn-MN"/>
        </w:rPr>
        <w:t>А.</w:t>
      </w:r>
      <w:r w:rsidR="00E1287C" w:rsidRPr="00E05304">
        <w:rPr>
          <w:rFonts w:ascii="Arial" w:hAnsi="Arial" w:cs="Arial"/>
          <w:szCs w:val="24"/>
          <w:lang w:val="mn-MN"/>
        </w:rPr>
        <w:t>Шүүхийн хүний нөөцтэй холбоотой өнөөгийн нөхцөл байдл</w:t>
      </w:r>
      <w:r w:rsidR="00FA49DC" w:rsidRPr="00E05304">
        <w:rPr>
          <w:rFonts w:ascii="Arial" w:hAnsi="Arial" w:cs="Arial"/>
          <w:szCs w:val="24"/>
          <w:lang w:val="mn-MN"/>
        </w:rPr>
        <w:t>ын тухайд</w:t>
      </w:r>
      <w:r w:rsidR="00E1287C" w:rsidRPr="00E05304">
        <w:rPr>
          <w:rFonts w:ascii="Arial" w:hAnsi="Arial" w:cs="Arial"/>
          <w:szCs w:val="24"/>
          <w:lang w:val="mn-MN"/>
        </w:rPr>
        <w:t>:</w:t>
      </w:r>
    </w:p>
    <w:p w:rsidR="00E1287C" w:rsidRPr="00E05304"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 </w:t>
      </w: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Шүүхийн хэрэг хянан шийдвэрлэх ажиллагааны ачаалал, шийдвэрлэж байгаа хэрэг, маргааны тоо нэмэгдэж байгаатай уялдуулан Улсын Их Хурлаас 2016 оны 42 дугаар тогтоолоор анхан болон давж заалдах шатны шүүхийн шүүгчийн орон тоог 699 байхаар тогтоосон. Өнөөгийн байдлаар анхан шатны шүүхэд 361, давж заалдах шатны шүүхэд 104, нийт 481 шүүгч ажиллаж байгаа бөгөөд улсын төсөвт батлагдсан цалингийн сан хүрэлцээгүйн улмаас хэрэг маргааны өсөлт, шүүхийн ачаалалтай уялдуулан шүүгч шинээр томилж ажиллуулах боломжгүй болж, улмаар нэг шүүгчид ногдох ажлын ачаалал эрс өсч байна.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Тухайлбал, “Хөгжлийн санаачилга бодлогын судалгааны төв”-өөс 2018 онд хийж гүйцэтгэсэн шүүгчийн ажлын ачаалал тодорхойлох судалгаагаар анхан шатны шүүхийн нэг шүүгчийн жилд шийдвэрлэх хэрэг маргааны тоо нь иргэний </w:t>
      </w:r>
      <w:r w:rsidRPr="00E05304">
        <w:rPr>
          <w:rFonts w:ascii="Arial" w:hAnsi="Arial" w:cs="Arial"/>
          <w:szCs w:val="24"/>
          <w:lang w:val="mn-MN"/>
        </w:rPr>
        <w:lastRenderedPageBreak/>
        <w:t xml:space="preserve">хэргийн хувьд 200, эрүүгийн хэргийн хувьд 75, захиргааны хэргийн хувьд 42 байх нь хэвийн ачаалал гэж дүгнэсэн байна. Гэтэл өнөөгийн байдлаар иргэний хэргийн анхан шатны шүүхийн шүүгч жилд дунджаар 300 гаруй хэрэг хянан шийдвэрлэж байна.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Шүүхийн хүний нөөцийн хүрэлцээгүй байдал нь хэрэг хянан шийдвэрлэх ажиллагааны хуульд заасан хугацаа хэтрэх, шүүхээр үйлчлүүлж байгаа иргэдийг чирэгдүүлэх, улмаар шүүхийн шүүн таслах ажиллагааны чанарт нөлөөлөх нөхцөл байдалд хүргэж байна. Иймд шүүхээр хянан шийдвэрлэж байгаа хэрэг маргаан, ачааллын өсөлттэй уялдуулан шүүгч, шүүгчийн туслах, шүүх хуралдааны нарийн бичгийн даргын цалингийн санг нэмэгдүүлэх, орон тоог үе шаттайгаар нэмэх шаардлага зүй ёсоор тавигдаж байна.   </w:t>
      </w:r>
    </w:p>
    <w:p w:rsidR="00E05304" w:rsidRPr="00E05304" w:rsidRDefault="00E05304" w:rsidP="00E05304">
      <w:pPr>
        <w:spacing w:after="0" w:line="240" w:lineRule="auto"/>
        <w:ind w:firstLine="720"/>
        <w:jc w:val="both"/>
        <w:rPr>
          <w:rFonts w:ascii="Arial" w:hAnsi="Arial" w:cs="Arial"/>
          <w:szCs w:val="24"/>
          <w:lang w:val="mn-MN"/>
        </w:rPr>
      </w:pPr>
    </w:p>
    <w:p w:rsidR="00E1287C" w:rsidRPr="00E05304" w:rsidRDefault="00E05304" w:rsidP="00E05304">
      <w:pPr>
        <w:spacing w:after="0" w:line="240" w:lineRule="auto"/>
        <w:ind w:firstLine="720"/>
        <w:jc w:val="both"/>
        <w:rPr>
          <w:rFonts w:ascii="Arial" w:hAnsi="Arial" w:cs="Arial"/>
          <w:szCs w:val="24"/>
          <w:lang w:val="mn-MN"/>
        </w:rPr>
      </w:pPr>
      <w:r>
        <w:rPr>
          <w:rFonts w:ascii="Arial" w:hAnsi="Arial" w:cs="Arial"/>
          <w:szCs w:val="24"/>
          <w:lang w:val="mn-MN"/>
        </w:rPr>
        <w:t>Б.</w:t>
      </w:r>
      <w:r w:rsidR="00E1287C" w:rsidRPr="00E05304">
        <w:rPr>
          <w:rFonts w:ascii="Arial" w:hAnsi="Arial" w:cs="Arial"/>
          <w:szCs w:val="24"/>
          <w:lang w:val="mn-MN"/>
        </w:rPr>
        <w:t>Шүүхийн дэд бүтэцтэй холбоотой нө</w:t>
      </w:r>
      <w:r w:rsidR="00FA49DC" w:rsidRPr="00E05304">
        <w:rPr>
          <w:rFonts w:ascii="Arial" w:hAnsi="Arial" w:cs="Arial"/>
          <w:szCs w:val="24"/>
          <w:lang w:val="mn-MN"/>
        </w:rPr>
        <w:t>хцөл байд</w:t>
      </w:r>
      <w:r w:rsidR="00E1287C" w:rsidRPr="00E05304">
        <w:rPr>
          <w:rFonts w:ascii="Arial" w:hAnsi="Arial" w:cs="Arial"/>
          <w:szCs w:val="24"/>
          <w:lang w:val="mn-MN"/>
        </w:rPr>
        <w:t>л</w:t>
      </w:r>
      <w:r w:rsidR="00FA49DC" w:rsidRPr="00E05304">
        <w:rPr>
          <w:rFonts w:ascii="Arial" w:hAnsi="Arial" w:cs="Arial"/>
          <w:szCs w:val="24"/>
          <w:lang w:val="mn-MN"/>
        </w:rPr>
        <w:t>ын тухайд</w:t>
      </w:r>
      <w:r w:rsidR="00E1287C" w:rsidRPr="00E05304">
        <w:rPr>
          <w:rFonts w:ascii="Arial" w:hAnsi="Arial" w:cs="Arial"/>
          <w:szCs w:val="24"/>
          <w:lang w:val="mn-MN"/>
        </w:rPr>
        <w:t>:</w:t>
      </w:r>
    </w:p>
    <w:p w:rsidR="00E05304" w:rsidRPr="00E05304" w:rsidRDefault="00E05304" w:rsidP="00E05304">
      <w:pPr>
        <w:spacing w:after="0" w:line="240" w:lineRule="auto"/>
        <w:ind w:firstLine="720"/>
        <w:jc w:val="both"/>
        <w:rPr>
          <w:rFonts w:ascii="Arial" w:hAnsi="Arial" w:cs="Arial"/>
          <w:b/>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Шүүхээр шийдвэрлүүлэх хэрэг маргааны тоо жил ирэх тусам өссөн дүнтэй байхад шүүхийн төсөв нэмэгдэхгүй байгаа нь шүүн таслах үйл ажиллагааг хэвийн, тасралтгүй явуулах, мөн улсын төсвийн хөрөнгө оруулалт хийгдэхгүйн улмаас шүүхийн барилга, тоног төхөөрөмж, тээврийн хэрэгсэлд тогтмол эвдрэл, гэмтэл гарч улмаар шүүхийн үйл ажиллагаа доголдох эрсдэлтэй байна.</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Цаашид шүүхийн бодит хэрэгцээг хангахуйц шүүхийн зориулалтын барилга, хөрөнгө оруулалтын төсвийг хууль тогтоох байгууллагаар батлуулах, шүүхийн техник, тоног төхөөрөмж, тээврийн хэрэгслийг шинэчлэх санхүүгийн эх үүсвэрийг бүрдүүлэхгүйгээр Үндсэн хуулийн нэмэлт, өөрчлөлтөд орсон холбогдох зохицуулалтын зорилго хангагдахгүй байх үр дагавартай байна. Тодруулбал, Монгол Улсад анхан болон давж заалдах шатны нийт 116 шүүх, 41 шүүхийн тамгын газартайгаар 41 конторын барилгад үйл ажиллагаа явуулж байгаа бөгөөд үүнээс 9 шүүх одоог хүртэл түрээсийн байранд үйл ажиллагаа явуулж байна.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Шүүхийн хөрөнгө оруулалтын төсөв 2014-2019 оны хооронд 6 жил дараалан “0” дүнтэйгээр батлагдсан учир шүүхийн барилга шинээр барих боломжгүй байгаа бөгөөд улмаар шүүх гадаад улсын түрээсийн байранд болон мэргэжлийн хяналтын улсын байцаагчаас ашиглах боломжгүй гэсэн дүгнэлт гаргаж, акталсан барилгад шүүн таслах ажиллагаа явуулж байна. Шүүх нь гадаад улсын эзэмшлийн байрыг түрээслэн үйл ажиллагаагаа явуулж буй тохиолдол Монгол Улсаас өөр улсад байхгүй.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Нөгөө талаар зориулалтын бус, стандарт хангахгүй барилгад шаардлага хангасан түр саатуулах байр барих, шүүх хуралдааны танхим, зөвлөлдөх тасалгааны тоог нэмэгдүүлэх боломжгүй байна. Шүүх хуралдааны танхим хүрэлцэхгүйн улмаас хэргийн оролцогчид өмнөх шүүх хуралдаан дуустал хүлээх, шүүх хуралдаан хойшлох, хэрэг хянан шийдвэрлэх ажиллагаа удаашрах нөхцөл байдал үүсч байна.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Одоогийн байдлаар Архангай аймгийн шүүх, Багануур дүүргийн шүүх, Өмнөговь аймгийн Ханбогд сум дахь шүүх нь Засаг даргын тамгын газрын байранд, Дархан-Уул аймаг дахь анхан шат</w:t>
      </w:r>
      <w:r w:rsidR="006915A4" w:rsidRPr="00E05304">
        <w:rPr>
          <w:rFonts w:ascii="Arial" w:hAnsi="Arial" w:cs="Arial"/>
          <w:szCs w:val="24"/>
          <w:lang w:val="mn-MN"/>
        </w:rPr>
        <w:t>н</w:t>
      </w:r>
      <w:r w:rsidRPr="00E05304">
        <w:rPr>
          <w:rFonts w:ascii="Arial" w:hAnsi="Arial" w:cs="Arial"/>
          <w:szCs w:val="24"/>
          <w:lang w:val="mn-MN"/>
        </w:rPr>
        <w:t xml:space="preserve">ы шүүх ОХУ-ын эзэмшлийн байранд түрээсээр үйл ажиллагаа явуулж байна.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Баянзүрх дүүргийн Иргэний хэргийн анхан шатны шүүх, Шүүхийн төрөлжсөн архив түрээсийн байранд үйл ажиллагаа явуулж байгаа бөгөөд Сүхбаатар, Хан-</w:t>
      </w:r>
      <w:r w:rsidRPr="00E05304">
        <w:rPr>
          <w:rFonts w:ascii="Arial" w:hAnsi="Arial" w:cs="Arial"/>
          <w:szCs w:val="24"/>
          <w:lang w:val="mn-MN"/>
        </w:rPr>
        <w:lastRenderedPageBreak/>
        <w:t>Уул дүүргийн Засаг даргын тамгын газрын ашиглахаа больсон, чанар, аюулгүй байдал хангахгүй хуучин байранд Сүхбаатар, Чингэлтэй дүүргийн иргэний хэргийн шүүхүүд, Хан-Уул дүүргийн Иргэний хэргийн шүүх ажиллаж байна.</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Мөн шүүх нь эрүүгийн хэргийн нэг тал болох прокурорын байгууллагатай нэг барилгад үйл ажиллагаа явуулж байгаа нь иргэдийн шүүхэд итгэх итгэлийг бууруулах нэг хүчин зүйл болж байгааг дурдах нь зүйтэй. Одоогийн байдлаар Баянхонгор, Говь-Алтай, Өвөрхангай, Өмнөговь, Увс, Хөвсгөл, Хэнтий, Сэлэнгэ аймгийн Сайхан сум дахь шүүх, прокурорын байгууллагууд нэг байранд байрлан үйл ажиллагаа явуулж байна.</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Шүүгч болон захиргааны ажилтны ажиллаж буй өрөө тасалгааны талбайн хэмжээг судалж үзэхэд Засгийн газрын 2002 оны 120 дугаар тогтоолоор батлагдсан төрийн албан хаагчид ногдох норматив талбайн хэмжээнээс 2-5.6 дахин бага байгаа бөгөөд нийт хүрэлцээгүй талбайн хэмжээ 3,253 м.кв байна. </w:t>
      </w:r>
    </w:p>
    <w:p w:rsidR="00E05304" w:rsidRPr="00E05304" w:rsidRDefault="00E05304" w:rsidP="00E05304">
      <w:pPr>
        <w:spacing w:after="0" w:line="240" w:lineRule="auto"/>
        <w:ind w:firstLine="720"/>
        <w:jc w:val="both"/>
        <w:rPr>
          <w:rFonts w:ascii="Arial" w:hAnsi="Arial" w:cs="Arial"/>
          <w:szCs w:val="24"/>
          <w:lang w:val="mn-MN"/>
        </w:rPr>
      </w:pPr>
    </w:p>
    <w:p w:rsidR="00946601" w:rsidRDefault="00E05304" w:rsidP="00E05304">
      <w:pPr>
        <w:spacing w:after="0" w:line="240" w:lineRule="auto"/>
        <w:ind w:firstLine="720"/>
        <w:jc w:val="both"/>
        <w:rPr>
          <w:rFonts w:ascii="Arial" w:hAnsi="Arial" w:cs="Arial"/>
          <w:szCs w:val="24"/>
          <w:lang w:val="mn-MN"/>
        </w:rPr>
      </w:pPr>
      <w:r>
        <w:rPr>
          <w:rFonts w:ascii="Arial" w:hAnsi="Arial" w:cs="Arial"/>
          <w:szCs w:val="24"/>
          <w:lang w:val="mn-MN"/>
        </w:rPr>
        <w:t>В.</w:t>
      </w:r>
      <w:r w:rsidR="00946601" w:rsidRPr="00E05304">
        <w:rPr>
          <w:rFonts w:ascii="Arial" w:hAnsi="Arial" w:cs="Arial"/>
          <w:szCs w:val="24"/>
          <w:lang w:val="mn-MN"/>
        </w:rPr>
        <w:t>Шүүхийн бие даасан, шүүгчийн хараат бус байдлыг хангах арга хэмжээний тухайд:</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Дээрх нөхцөл байдал нь Үндсэн хуулийн нэмэлт, өөрчлөлтөд тусгагдсан шүүхийн бие даасан, шүүгчийн хараат бус байдлыг хангахын тулд дараах арга хэмжээг үе шаттай авч хэрэгжүүлэх шаардлагатай байна: </w:t>
      </w:r>
    </w:p>
    <w:p w:rsidR="00E05304" w:rsidRPr="00E05304" w:rsidRDefault="00E05304" w:rsidP="00E05304">
      <w:pPr>
        <w:spacing w:after="0" w:line="240" w:lineRule="auto"/>
        <w:ind w:firstLine="720"/>
        <w:jc w:val="both"/>
        <w:rPr>
          <w:rFonts w:ascii="Arial" w:hAnsi="Arial" w:cs="Arial"/>
          <w:szCs w:val="24"/>
          <w:lang w:val="mn-MN"/>
        </w:rPr>
      </w:pPr>
    </w:p>
    <w:p w:rsidR="00E1287C" w:rsidRPr="00E05304" w:rsidRDefault="00E1287C" w:rsidP="00E05304">
      <w:pPr>
        <w:pStyle w:val="ListParagraph"/>
        <w:numPr>
          <w:ilvl w:val="0"/>
          <w:numId w:val="1"/>
        </w:numPr>
        <w:spacing w:after="0" w:line="240" w:lineRule="auto"/>
        <w:jc w:val="both"/>
        <w:rPr>
          <w:rFonts w:ascii="Arial" w:hAnsi="Arial" w:cs="Arial"/>
          <w:i/>
          <w:szCs w:val="24"/>
          <w:lang w:val="mn-MN"/>
        </w:rPr>
      </w:pPr>
      <w:r w:rsidRPr="00E05304">
        <w:rPr>
          <w:rFonts w:ascii="Arial" w:hAnsi="Arial" w:cs="Arial"/>
          <w:i/>
          <w:szCs w:val="24"/>
          <w:lang w:val="mn-MN"/>
        </w:rPr>
        <w:t>Шүүгчийн орон тоотой холбоотойгоор:</w:t>
      </w:r>
    </w:p>
    <w:p w:rsidR="00E05304"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Шүүгчийн тоог хэрэг маргааны ачаалалтай уялдуулж нэмэгдүүлэхэд шаардагдах цалингийн санг ачаалал ихтэй нийслэлийн шүүхүүдэд 2020 онд 40 шүүгч нэмж ажиллуулахад шаардагдах 1,296.0 сая төгрөг, 2021 онд 50 шүүгч нэмж ажиллуулахад шаардагдах 1,620.0 сая төгрөг, 2022 онд 60 шүүгч нэмж ажиллуулахад шаардагдах 1,944.0 сая төгрөг, 2023 онд 70 шүүгч нэмж ажиллуулахад шаардагдах 2,268.0  сая төгрөгөөр нэмэгдүүлэн батлах; </w:t>
      </w:r>
    </w:p>
    <w:p w:rsidR="00E1287C" w:rsidRPr="00E05304"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  </w:t>
      </w:r>
    </w:p>
    <w:p w:rsidR="00E1287C" w:rsidRPr="00E05304" w:rsidRDefault="00E1287C" w:rsidP="00E05304">
      <w:pPr>
        <w:pStyle w:val="ListParagraph"/>
        <w:numPr>
          <w:ilvl w:val="0"/>
          <w:numId w:val="1"/>
        </w:numPr>
        <w:spacing w:after="0" w:line="240" w:lineRule="auto"/>
        <w:jc w:val="both"/>
        <w:rPr>
          <w:rFonts w:ascii="Arial" w:hAnsi="Arial" w:cs="Arial"/>
          <w:i/>
          <w:szCs w:val="24"/>
          <w:lang w:val="mn-MN"/>
        </w:rPr>
      </w:pPr>
      <w:r w:rsidRPr="00E05304">
        <w:rPr>
          <w:rFonts w:ascii="Arial" w:hAnsi="Arial" w:cs="Arial"/>
          <w:i/>
          <w:szCs w:val="24"/>
          <w:lang w:val="mn-MN"/>
        </w:rPr>
        <w:t>Шүүхийн захиргааны ажилтны ажиллах нөхцөл, орон тоотой холбоотойгоор:</w:t>
      </w: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Шүүгчийн тоо нэмэгдсэнтэй холбоотойгоор ачаалал ихтэй нийслэлийн шүүхүүдэд шүүхийн захиргааны ажилтны цалингийн санг 2020 онд 60 ажилтан нэмж ажиллуулахад шаардагдах 487.4 сая төгрөг, 2021 онд 75 ажилтан нэмж ажиллуулахад шаардагдах 609.3 сая төгрөг, 2022 онд 90 ажилтан нэмж ажиллуулахад шаардагдах 731,2 сая төгрөг, 2023 онд 105 ажилтан нэмж ажиллуулахад шаардагдах 853 сая төгрөгөөр тус тус үе шаттай нэмэгдүүлэн батлах;       </w:t>
      </w:r>
    </w:p>
    <w:p w:rsidR="00E05304" w:rsidRPr="00E05304" w:rsidRDefault="00E05304" w:rsidP="00E05304">
      <w:pPr>
        <w:spacing w:after="0" w:line="240" w:lineRule="auto"/>
        <w:ind w:firstLine="720"/>
        <w:jc w:val="both"/>
        <w:rPr>
          <w:rFonts w:ascii="Arial" w:hAnsi="Arial" w:cs="Arial"/>
          <w:szCs w:val="24"/>
          <w:lang w:val="mn-MN"/>
        </w:rPr>
      </w:pPr>
    </w:p>
    <w:p w:rsidR="00E1287C" w:rsidRPr="00E05304" w:rsidRDefault="00E1287C" w:rsidP="00E05304">
      <w:pPr>
        <w:pStyle w:val="ListParagraph"/>
        <w:numPr>
          <w:ilvl w:val="0"/>
          <w:numId w:val="1"/>
        </w:numPr>
        <w:spacing w:after="0" w:line="240" w:lineRule="auto"/>
        <w:jc w:val="both"/>
        <w:rPr>
          <w:rFonts w:ascii="Arial" w:hAnsi="Arial" w:cs="Arial"/>
          <w:szCs w:val="24"/>
          <w:lang w:val="mn-MN"/>
        </w:rPr>
      </w:pPr>
      <w:r w:rsidRPr="00E05304">
        <w:rPr>
          <w:rFonts w:ascii="Arial" w:hAnsi="Arial" w:cs="Arial"/>
          <w:i/>
          <w:szCs w:val="24"/>
          <w:lang w:val="mn-MN"/>
        </w:rPr>
        <w:t>Шүүхийн дэд бүтэцтэй холбоотойгоор:</w:t>
      </w: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Шүүхийн зориулалтын шаардлага хангасан барилга байгууламж барихад зориулж дараах хөрөнгө оруулалтыг хийх шаардлагатай. Хан-Уул дүүрэг дэх шүүхийн цогцолбор барилгыг дуусгахад 2020 онд 32,700.0 сая төгрөг, шүүхийн зориулалтын хоёр барилгыг 2021 онд барихад шаардагдах 9,917.2 сая төгрөг, нэмж хоёр шүүхийн барилга барихад 2022 онд  5,712.0 сая төгрөг, 2023 онд нэг шүүхийн барилга барихад шаардагдах 7,042.1 сая төгрөгийг үе шаттайгаар төсөвт тусган батлах;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Шүүхийн шүүн таслах ажиллагааны хэвийн тасралтгүй нөхцөлийг хангахад шаардлагатай техник тоног төхөөрөмжийг шинэчлэхэд шаардагдах 2020 онд </w:t>
      </w:r>
      <w:r w:rsidRPr="00E05304">
        <w:rPr>
          <w:rFonts w:ascii="Arial" w:hAnsi="Arial" w:cs="Arial"/>
          <w:szCs w:val="24"/>
          <w:lang w:val="mn-MN"/>
        </w:rPr>
        <w:lastRenderedPageBreak/>
        <w:t xml:space="preserve">2,786.0 сая төгрөг, 2021 онд 2,986.0 сая төгрөг, 2022 онд 2,452.0 сая төгрөг, 2023 онд 1,850.0 сая төгрөг, нийт 10,072.0 сая төгрөгийг төсөвт үе шаттайгаар тусган батлах;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 xml:space="preserve">Шүүхийн хэвийн тасралтгүй үйл ажиллагааг хангаж, тээврийн хэрэгслийг шинэчлэхэд шаардагдах 3,898.0 сая төгрөгийг 2020 онд, 988 сая төгрөгийг 2021, 912 сая төгрөгийг 2023 онд, нийт 9,677.0 сая төгрөгийг тусган батлах; </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szCs w:val="24"/>
          <w:lang w:val="mn-MN"/>
        </w:rPr>
      </w:pPr>
      <w:r w:rsidRPr="00E05304">
        <w:rPr>
          <w:rFonts w:ascii="Arial" w:hAnsi="Arial" w:cs="Arial"/>
          <w:szCs w:val="24"/>
          <w:lang w:val="mn-MN"/>
        </w:rPr>
        <w:t>Шүүх хуралдааны танхимын болон шүүгч, шүүхийн захиргааны ажилтны тавилгыг шинэчилж авахад 597 сая төгрөгийг 2020 онд, 694 сая төгрөгийг 2021 онд, 810 сая төгрөгийг 2022 онд, 831 сая төгрөгийг 2023 онд, нийт 2,932.0 сая төгрөгийг үе шаттайгаар тусган батлах.</w:t>
      </w:r>
    </w:p>
    <w:p w:rsidR="00E05304" w:rsidRPr="00E05304" w:rsidRDefault="00E05304" w:rsidP="00E05304">
      <w:pPr>
        <w:spacing w:after="0" w:line="240" w:lineRule="auto"/>
        <w:ind w:firstLine="720"/>
        <w:jc w:val="both"/>
        <w:rPr>
          <w:rFonts w:ascii="Arial" w:hAnsi="Arial" w:cs="Arial"/>
          <w:szCs w:val="24"/>
          <w:lang w:val="mn-MN"/>
        </w:rPr>
      </w:pPr>
    </w:p>
    <w:p w:rsidR="00E1287C" w:rsidRDefault="00E1287C" w:rsidP="00E05304">
      <w:pPr>
        <w:spacing w:after="0" w:line="240" w:lineRule="auto"/>
        <w:ind w:firstLine="720"/>
        <w:jc w:val="both"/>
        <w:rPr>
          <w:rFonts w:ascii="Arial" w:hAnsi="Arial" w:cs="Arial"/>
          <w:b/>
          <w:noProof/>
          <w:szCs w:val="24"/>
          <w:lang w:val="mn-MN"/>
        </w:rPr>
      </w:pPr>
      <w:r w:rsidRPr="00E05304">
        <w:rPr>
          <w:rFonts w:ascii="Arial" w:hAnsi="Arial" w:cs="Arial"/>
          <w:b/>
          <w:noProof/>
          <w:szCs w:val="24"/>
          <w:lang w:val="mn-MN"/>
        </w:rPr>
        <w:t>Хоёр.</w:t>
      </w:r>
      <w:r w:rsidR="00FA49DC" w:rsidRPr="00E05304">
        <w:rPr>
          <w:rFonts w:ascii="Arial" w:hAnsi="Arial" w:cs="Arial"/>
          <w:b/>
          <w:noProof/>
          <w:szCs w:val="24"/>
          <w:lang w:val="mn-MN"/>
        </w:rPr>
        <w:t xml:space="preserve"> </w:t>
      </w:r>
      <w:r w:rsidRPr="00E05304">
        <w:rPr>
          <w:rFonts w:ascii="Arial" w:hAnsi="Arial" w:cs="Arial"/>
          <w:b/>
          <w:noProof/>
          <w:szCs w:val="24"/>
          <w:lang w:val="mn-MN"/>
        </w:rPr>
        <w:t>Хуулийн төслийн зорилго, бүтэц, зохицуулах харилцаа, хамрах хүрээ</w:t>
      </w:r>
    </w:p>
    <w:p w:rsidR="00E05304" w:rsidRPr="00E05304" w:rsidRDefault="00E05304" w:rsidP="00E05304">
      <w:pPr>
        <w:spacing w:after="0" w:line="240" w:lineRule="auto"/>
        <w:ind w:firstLine="720"/>
        <w:jc w:val="both"/>
        <w:rPr>
          <w:rFonts w:ascii="Arial" w:hAnsi="Arial" w:cs="Arial"/>
          <w:b/>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Хуулийн төслийн зорилго нь Монгол Улсын </w:t>
      </w:r>
      <w:r w:rsidR="00946601" w:rsidRPr="00E05304">
        <w:rPr>
          <w:rFonts w:ascii="Arial" w:hAnsi="Arial" w:cs="Arial"/>
          <w:noProof/>
          <w:szCs w:val="24"/>
          <w:lang w:val="mn-MN"/>
        </w:rPr>
        <w:t>ш</w:t>
      </w:r>
      <w:r w:rsidRPr="00E05304">
        <w:rPr>
          <w:rFonts w:ascii="Arial" w:hAnsi="Arial" w:cs="Arial"/>
          <w:noProof/>
          <w:szCs w:val="24"/>
          <w:lang w:val="mn-MN"/>
        </w:rPr>
        <w:t>үүхийн тухай хуулийн зохицуулалтыг Монгол Улсын Үндсэн хуульд оруулсан нэмэлт, өөрчлөлттэй нийцүүлэхэд орших бөгөөд төслийг Хууль тогтоомжийн тухай хуулийн 22 дугаар зүйлийн 22.1.</w:t>
      </w:r>
      <w:r w:rsidR="00537397" w:rsidRPr="00E05304">
        <w:rPr>
          <w:rFonts w:ascii="Arial" w:hAnsi="Arial" w:cs="Arial"/>
          <w:noProof/>
          <w:szCs w:val="24"/>
          <w:lang w:val="mn-MN"/>
        </w:rPr>
        <w:t>3</w:t>
      </w:r>
      <w:r w:rsidRPr="00E05304">
        <w:rPr>
          <w:rFonts w:ascii="Arial" w:hAnsi="Arial" w:cs="Arial"/>
          <w:noProof/>
          <w:szCs w:val="24"/>
          <w:lang w:val="mn-MN"/>
        </w:rPr>
        <w:t xml:space="preserve">-т заасны дагуу хуулийн </w:t>
      </w:r>
      <w:r w:rsidR="00537397" w:rsidRPr="00E05304">
        <w:rPr>
          <w:rFonts w:ascii="Arial" w:hAnsi="Arial" w:cs="Arial"/>
          <w:noProof/>
          <w:szCs w:val="24"/>
          <w:lang w:val="mn-MN"/>
        </w:rPr>
        <w:t xml:space="preserve">шинэчилсэн найруулгын </w:t>
      </w:r>
      <w:r w:rsidRPr="00E05304">
        <w:rPr>
          <w:rFonts w:ascii="Arial" w:hAnsi="Arial" w:cs="Arial"/>
          <w:noProof/>
          <w:szCs w:val="24"/>
          <w:lang w:val="mn-MN"/>
        </w:rPr>
        <w:t>төсөл хэлбэрээр боловсруулна.</w:t>
      </w:r>
    </w:p>
    <w:p w:rsidR="00E05304" w:rsidRP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Хуулийн </w:t>
      </w:r>
      <w:r w:rsidR="00537397" w:rsidRPr="00E05304">
        <w:rPr>
          <w:rFonts w:ascii="Arial" w:hAnsi="Arial" w:cs="Arial"/>
          <w:noProof/>
          <w:szCs w:val="24"/>
          <w:lang w:val="mn-MN"/>
        </w:rPr>
        <w:t xml:space="preserve">шинэчилсэн найруулгын </w:t>
      </w:r>
      <w:r w:rsidRPr="00E05304">
        <w:rPr>
          <w:rFonts w:ascii="Arial" w:hAnsi="Arial" w:cs="Arial"/>
          <w:noProof/>
          <w:szCs w:val="24"/>
          <w:lang w:val="mn-MN"/>
        </w:rPr>
        <w:t>төсөл</w:t>
      </w:r>
      <w:r w:rsidR="00537397" w:rsidRPr="00E05304">
        <w:rPr>
          <w:rFonts w:ascii="Arial" w:hAnsi="Arial" w:cs="Arial"/>
          <w:noProof/>
          <w:szCs w:val="24"/>
          <w:lang w:val="mn-MN"/>
        </w:rPr>
        <w:t xml:space="preserve">д тусгасан </w:t>
      </w:r>
      <w:r w:rsidRPr="00E05304">
        <w:rPr>
          <w:rFonts w:ascii="Arial" w:hAnsi="Arial" w:cs="Arial"/>
          <w:noProof/>
          <w:szCs w:val="24"/>
          <w:lang w:val="mn-MN"/>
        </w:rPr>
        <w:t xml:space="preserve">дараах </w:t>
      </w:r>
      <w:r w:rsidR="00537397" w:rsidRPr="00E05304">
        <w:rPr>
          <w:rFonts w:ascii="Arial" w:hAnsi="Arial" w:cs="Arial"/>
          <w:noProof/>
          <w:szCs w:val="24"/>
          <w:lang w:val="mn-MN"/>
        </w:rPr>
        <w:t>зохицуулалт нь нийгмийн харилцааны төлөв байдал, агуулгад гарсан өөрчлөлттэй уялдаж буй болно</w:t>
      </w:r>
      <w:r w:rsidRPr="00E05304">
        <w:rPr>
          <w:rFonts w:ascii="Arial" w:hAnsi="Arial" w:cs="Arial"/>
          <w:noProof/>
          <w:szCs w:val="24"/>
          <w:lang w:val="mn-MN"/>
        </w:rPr>
        <w:t>. Үүнд:</w:t>
      </w:r>
    </w:p>
    <w:p w:rsidR="00E05304" w:rsidRP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1/ анхан болон давж заалдах шатны шүүхийг тойргийн зарчмаар байгуулж болох ба</w:t>
      </w:r>
      <w:r w:rsidR="00537397" w:rsidRPr="00E05304">
        <w:rPr>
          <w:rFonts w:ascii="Arial" w:hAnsi="Arial" w:cs="Arial"/>
          <w:noProof/>
          <w:szCs w:val="24"/>
          <w:lang w:val="mn-MN"/>
        </w:rPr>
        <w:t xml:space="preserve"> тийнхүү</w:t>
      </w:r>
      <w:r w:rsidRPr="00E05304">
        <w:rPr>
          <w:rFonts w:ascii="Arial" w:hAnsi="Arial" w:cs="Arial"/>
          <w:noProof/>
          <w:szCs w:val="24"/>
          <w:lang w:val="mn-MN"/>
        </w:rPr>
        <w:t xml:space="preserve"> байгуулахад харгалзан үзэх шалгуур, тэрхүү шалгуурыг батлах этгээдийг тодорхой болгох</w:t>
      </w:r>
      <w:r w:rsidRPr="00E05304">
        <w:rPr>
          <w:rFonts w:ascii="Arial" w:hAnsi="Arial" w:cs="Arial"/>
          <w:noProof/>
          <w:szCs w:val="24"/>
        </w:rPr>
        <w:t>;</w:t>
      </w:r>
    </w:p>
    <w:p w:rsidR="00E05304" w:rsidRP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eastAsia="Times New Roman" w:hAnsi="Arial" w:cs="Arial"/>
          <w:bCs/>
          <w:szCs w:val="24"/>
          <w:lang w:val="mn-MN" w:eastAsia="mn-MN"/>
        </w:rPr>
      </w:pPr>
      <w:r w:rsidRPr="00E05304">
        <w:rPr>
          <w:rFonts w:ascii="Arial" w:hAnsi="Arial" w:cs="Arial"/>
          <w:noProof/>
          <w:szCs w:val="24"/>
          <w:lang w:val="mn-MN"/>
        </w:rPr>
        <w:t>2/ анхан шатны шүүхийн үр нөлөөг дээшлүүлэх, давж заалдах болон хяналтын шатны шүүхийн зохиомол ачааллыг бууруулах, шүүн таслах үйл ажиллагаа шуурхай, нэг мөр байх нөхцөлийг хангах, үүний тулд давж заалдах болон х</w:t>
      </w:r>
      <w:r w:rsidRPr="00E05304">
        <w:rPr>
          <w:rFonts w:ascii="Arial" w:eastAsia="Times New Roman" w:hAnsi="Arial" w:cs="Arial"/>
          <w:bCs/>
          <w:szCs w:val="24"/>
          <w:lang w:val="mn-MN" w:eastAsia="mn-MN"/>
        </w:rPr>
        <w:t>яналтын шатны шүүх гомдол, эсэргүүцлийг хүлээж авах эсэхээ Иргэний хэрэг шүүхэд хянан шийдвэрлэх тухай хууль, Захиргааны хэрэг шүүхэд хянан шийдвэрлэх тухай хуулиар тогтоосон журмын дагуу бие даан шийдвэрлэх</w:t>
      </w:r>
      <w:r w:rsidRPr="00E05304">
        <w:rPr>
          <w:rFonts w:ascii="Arial" w:eastAsia="Times New Roman" w:hAnsi="Arial" w:cs="Arial"/>
          <w:bCs/>
          <w:szCs w:val="24"/>
          <w:lang w:eastAsia="mn-MN"/>
        </w:rPr>
        <w:t>;</w:t>
      </w:r>
    </w:p>
    <w:p w:rsidR="00E05304" w:rsidRPr="00E05304" w:rsidRDefault="00E05304" w:rsidP="00E05304">
      <w:pPr>
        <w:spacing w:after="0" w:line="240" w:lineRule="auto"/>
        <w:ind w:firstLine="720"/>
        <w:jc w:val="both"/>
        <w:rPr>
          <w:rFonts w:ascii="Arial" w:eastAsia="Times New Roman" w:hAnsi="Arial" w:cs="Arial"/>
          <w:bCs/>
          <w:szCs w:val="24"/>
          <w:lang w:val="mn-MN" w:eastAsia="mn-MN"/>
        </w:rPr>
      </w:pPr>
    </w:p>
    <w:p w:rsidR="00E1287C" w:rsidRDefault="00E1287C" w:rsidP="00E05304">
      <w:pPr>
        <w:spacing w:after="0" w:line="240" w:lineRule="auto"/>
        <w:ind w:firstLine="720"/>
        <w:jc w:val="both"/>
        <w:rPr>
          <w:rFonts w:ascii="Arial" w:eastAsia="Times New Roman" w:hAnsi="Arial" w:cs="Arial"/>
          <w:bCs/>
          <w:szCs w:val="24"/>
          <w:lang w:val="mn-MN" w:eastAsia="mn-MN"/>
        </w:rPr>
      </w:pPr>
      <w:r w:rsidRPr="00E05304">
        <w:rPr>
          <w:rFonts w:ascii="Arial" w:eastAsia="Times New Roman" w:hAnsi="Arial" w:cs="Arial"/>
          <w:bCs/>
          <w:szCs w:val="24"/>
          <w:lang w:val="mn-MN" w:eastAsia="mn-MN"/>
        </w:rPr>
        <w:t>3/</w:t>
      </w:r>
      <w:r w:rsidRPr="00E05304">
        <w:rPr>
          <w:rFonts w:ascii="Arial" w:hAnsi="Arial" w:cs="Arial"/>
          <w:noProof/>
          <w:szCs w:val="24"/>
          <w:lang w:val="mn-MN"/>
        </w:rPr>
        <w:t xml:space="preserve"> бүх шатны шүүхийн үйл ажиллагааны болон хөрөнгө оруулалтын төсвийн тогтвортой байдал, түүнийг боловсруулах, өргөн мэдүүлэх, хэлэлцэн батлах журмыг тодорхой болгох, </w:t>
      </w:r>
      <w:r w:rsidRPr="00E05304">
        <w:rPr>
          <w:rFonts w:ascii="Arial" w:eastAsia="Times New Roman" w:hAnsi="Arial" w:cs="Arial"/>
          <w:bCs/>
          <w:szCs w:val="24"/>
          <w:lang w:val="mn-MN" w:eastAsia="mn-MN"/>
        </w:rPr>
        <w:t>шүүхийн төсвийн хэмжээг улсын төсвийн 2 хувиас бууруулахгүй байх</w:t>
      </w:r>
      <w:r w:rsidRPr="00E05304">
        <w:rPr>
          <w:rFonts w:ascii="Arial" w:eastAsia="Times New Roman" w:hAnsi="Arial" w:cs="Arial"/>
          <w:bCs/>
          <w:szCs w:val="24"/>
          <w:lang w:eastAsia="mn-MN"/>
        </w:rPr>
        <w:t xml:space="preserve"> </w:t>
      </w:r>
      <w:r w:rsidRPr="00E05304">
        <w:rPr>
          <w:rFonts w:ascii="Arial" w:eastAsia="Times New Roman" w:hAnsi="Arial" w:cs="Arial"/>
          <w:bCs/>
          <w:szCs w:val="24"/>
          <w:lang w:val="mn-MN" w:eastAsia="mn-MN"/>
        </w:rPr>
        <w:t>баталгааг хуульчлах</w:t>
      </w:r>
      <w:r w:rsidRPr="00E05304">
        <w:rPr>
          <w:rFonts w:ascii="Arial" w:eastAsia="Times New Roman" w:hAnsi="Arial" w:cs="Arial"/>
          <w:bCs/>
          <w:szCs w:val="24"/>
          <w:lang w:eastAsia="mn-MN"/>
        </w:rPr>
        <w:t>;</w:t>
      </w:r>
    </w:p>
    <w:p w:rsidR="00E05304" w:rsidRPr="00E05304" w:rsidRDefault="00E05304" w:rsidP="00E05304">
      <w:pPr>
        <w:spacing w:after="0" w:line="240" w:lineRule="auto"/>
        <w:ind w:firstLine="720"/>
        <w:jc w:val="both"/>
        <w:rPr>
          <w:rFonts w:ascii="Arial" w:eastAsia="Times New Roman" w:hAnsi="Arial" w:cs="Arial"/>
          <w:bCs/>
          <w:szCs w:val="24"/>
          <w:lang w:val="mn-MN" w:eastAsia="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eastAsia="Times New Roman" w:hAnsi="Arial" w:cs="Arial"/>
          <w:bCs/>
          <w:szCs w:val="24"/>
          <w:lang w:val="mn-MN" w:eastAsia="mn-MN"/>
        </w:rPr>
        <w:t>4/ шүүхийн нээлттэй, ил тод байдлыг хангах зорилгоор</w:t>
      </w:r>
      <w:r w:rsidRPr="00E05304">
        <w:rPr>
          <w:rFonts w:ascii="Arial" w:hAnsi="Arial" w:cs="Arial"/>
          <w:noProof/>
          <w:szCs w:val="24"/>
          <w:lang w:val="mn-MN"/>
        </w:rPr>
        <w:t xml:space="preserve"> хяналтын шатны шүүх зөвлөлдөх тасалгааны нууцыг задруулахгүйгээр тусгай саналаа хэвлэн нийтлэх эрхийг хангах</w:t>
      </w:r>
      <w:r w:rsidRPr="00E05304">
        <w:rPr>
          <w:rFonts w:ascii="Arial" w:hAnsi="Arial" w:cs="Arial"/>
          <w:noProof/>
          <w:szCs w:val="24"/>
        </w:rPr>
        <w:t>;</w:t>
      </w:r>
      <w:r w:rsidRPr="00E05304">
        <w:rPr>
          <w:rFonts w:ascii="Arial" w:hAnsi="Arial" w:cs="Arial"/>
          <w:noProof/>
          <w:szCs w:val="24"/>
          <w:lang w:val="mn-MN"/>
        </w:rPr>
        <w:t xml:space="preserve"> </w:t>
      </w:r>
    </w:p>
    <w:p w:rsidR="00E05304" w:rsidRPr="00E05304" w:rsidRDefault="00E05304"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eastAsia="Times New Roman" w:hAnsi="Arial" w:cs="Arial"/>
          <w:bCs/>
          <w:szCs w:val="24"/>
          <w:lang w:val="mn-MN" w:eastAsia="mn-MN"/>
        </w:rPr>
      </w:pPr>
      <w:r w:rsidRPr="00E05304">
        <w:rPr>
          <w:rFonts w:ascii="Arial" w:hAnsi="Arial" w:cs="Arial"/>
          <w:noProof/>
          <w:szCs w:val="24"/>
          <w:lang w:val="mn-MN"/>
        </w:rPr>
        <w:t xml:space="preserve">5/ Улсын дээд шүүхээс </w:t>
      </w:r>
      <w:r w:rsidRPr="00E05304">
        <w:rPr>
          <w:rFonts w:ascii="Arial" w:eastAsia="Times New Roman" w:hAnsi="Arial" w:cs="Arial"/>
          <w:bCs/>
          <w:szCs w:val="24"/>
          <w:lang w:val="mn-MN" w:eastAsia="mn-MN"/>
        </w:rPr>
        <w:t>Үндсэн хуулиас бусад хуулийн заалтыг тодорхой хэрэг, маргааныг хянан шийдвэрлэх үед нэг мөр ойлгож, зөв хэрэглэх талаар албан ёсны тайлбарыг Улсын дээд шүүхийн нийт шүүгчдийн хуралдаан гаргах журмыг тогтоох</w:t>
      </w:r>
      <w:r w:rsidRPr="00E05304">
        <w:rPr>
          <w:rFonts w:ascii="Arial" w:eastAsia="Times New Roman" w:hAnsi="Arial" w:cs="Arial"/>
          <w:bCs/>
          <w:szCs w:val="24"/>
          <w:lang w:eastAsia="mn-MN"/>
        </w:rPr>
        <w:t>;</w:t>
      </w:r>
    </w:p>
    <w:p w:rsidR="00E05304" w:rsidRPr="00E05304" w:rsidRDefault="00E05304" w:rsidP="00E05304">
      <w:pPr>
        <w:spacing w:after="0" w:line="240" w:lineRule="auto"/>
        <w:ind w:firstLine="720"/>
        <w:jc w:val="both"/>
        <w:rPr>
          <w:rFonts w:ascii="Arial" w:hAnsi="Arial" w:cs="Arial"/>
          <w:noProof/>
          <w:szCs w:val="24"/>
          <w:lang w:val="mn-MN"/>
        </w:rPr>
      </w:pPr>
    </w:p>
    <w:p w:rsidR="00E1287C" w:rsidRDefault="003951F3"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lastRenderedPageBreak/>
        <w:t xml:space="preserve">6/ </w:t>
      </w:r>
      <w:r w:rsidR="00E1287C" w:rsidRPr="00E05304">
        <w:rPr>
          <w:rFonts w:ascii="Arial" w:hAnsi="Arial" w:cs="Arial"/>
          <w:noProof/>
          <w:szCs w:val="24"/>
          <w:lang w:val="mn-MN"/>
        </w:rPr>
        <w:t>шүүхийн хэрэг хуваарилах нарийвчилсан журмыг Шүүхийн ерөнхий зөвлөлөөс баталсан нийтлэг журамд үндэслэн тогтоодог байх, Шүүхийн ерөнхий зөвлөл бүх шатны шүүхийн үйл ажиллагааны болон хөрөнгө оруула</w:t>
      </w:r>
      <w:r w:rsidR="001449F9" w:rsidRPr="00E05304">
        <w:rPr>
          <w:rFonts w:ascii="Arial" w:hAnsi="Arial" w:cs="Arial"/>
          <w:noProof/>
          <w:szCs w:val="24"/>
          <w:lang w:val="mn-MN"/>
        </w:rPr>
        <w:t>лтын төсвийг төлөвлөн хүргүүлэх</w:t>
      </w:r>
      <w:r w:rsidR="001449F9" w:rsidRPr="00E05304">
        <w:rPr>
          <w:rFonts w:ascii="Arial" w:hAnsi="Arial" w:cs="Arial"/>
          <w:noProof/>
          <w:szCs w:val="24"/>
        </w:rPr>
        <w:t>;</w:t>
      </w:r>
    </w:p>
    <w:p w:rsidR="00E05304" w:rsidRPr="00E05304" w:rsidRDefault="00E05304" w:rsidP="00E05304">
      <w:pPr>
        <w:spacing w:after="0" w:line="240" w:lineRule="auto"/>
        <w:ind w:firstLine="720"/>
        <w:jc w:val="both"/>
        <w:rPr>
          <w:rFonts w:ascii="Arial" w:hAnsi="Arial" w:cs="Arial"/>
          <w:noProof/>
          <w:szCs w:val="24"/>
          <w:lang w:val="mn-MN"/>
        </w:rPr>
      </w:pPr>
    </w:p>
    <w:p w:rsidR="00B25A75" w:rsidRDefault="00B25A75"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7/  шүүх бүрэлдэхүүн иргэдийн төлөөлөгчийн шүүх хуралдаанд гаргасан санал, дүгнэлтэд ач холбогдол өгч, шүүгдэгч, зохигчийн гэм буруугийн талаар бичгээр гаргасан дүгнэлтийн агуулгыг шүүхийн шийдвэр, тогтоолд тусгах, түүнийг үнэлж, дүгнэх</w:t>
      </w:r>
      <w:r w:rsidR="001449F9" w:rsidRPr="00E05304">
        <w:rPr>
          <w:rFonts w:ascii="Arial" w:hAnsi="Arial" w:cs="Arial"/>
          <w:noProof/>
          <w:szCs w:val="24"/>
        </w:rPr>
        <w:t>;</w:t>
      </w:r>
    </w:p>
    <w:p w:rsidR="00E05304" w:rsidRPr="00E05304" w:rsidRDefault="00E05304" w:rsidP="00E05304">
      <w:pPr>
        <w:spacing w:after="0" w:line="240" w:lineRule="auto"/>
        <w:ind w:firstLine="720"/>
        <w:jc w:val="both"/>
        <w:rPr>
          <w:rFonts w:ascii="Arial" w:hAnsi="Arial" w:cs="Arial"/>
          <w:noProof/>
          <w:szCs w:val="24"/>
          <w:lang w:val="mn-MN"/>
        </w:rPr>
      </w:pPr>
    </w:p>
    <w:p w:rsidR="00B25A75" w:rsidRDefault="00B25A75"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8/ Шүүхийн ерөнхий зөвлөлийн гишүүнд нэр дэвшигчийн мэргэжлээрээ ажилласан жилийг 10-аас доошгүй байхаар нэмэгдүүлэх, Шүүхийн ерөнхий зөвлөлийн гишүүдийг улс төрийн болон бусад нөлөөллөөс ангид байлгах үүднээс гишүүнд тавигдах шаардлагыг нэмэгдүүлэх;</w:t>
      </w:r>
    </w:p>
    <w:p w:rsidR="00DC5058" w:rsidRPr="00E05304" w:rsidRDefault="00DC5058" w:rsidP="00E05304">
      <w:pPr>
        <w:spacing w:after="0" w:line="240" w:lineRule="auto"/>
        <w:ind w:firstLine="720"/>
        <w:jc w:val="both"/>
        <w:rPr>
          <w:rFonts w:ascii="Arial" w:hAnsi="Arial" w:cs="Arial"/>
          <w:noProof/>
          <w:szCs w:val="24"/>
          <w:lang w:val="mn-MN"/>
        </w:rPr>
      </w:pPr>
    </w:p>
    <w:p w:rsidR="00B25A75" w:rsidRDefault="00B25A75" w:rsidP="00E05304">
      <w:pPr>
        <w:spacing w:after="0" w:line="240" w:lineRule="auto"/>
        <w:ind w:firstLine="720"/>
        <w:jc w:val="both"/>
        <w:rPr>
          <w:rFonts w:ascii="Arial" w:hAnsi="Arial" w:cs="Arial"/>
          <w:bCs/>
          <w:noProof/>
          <w:szCs w:val="24"/>
          <w:lang w:val="mn-MN"/>
        </w:rPr>
      </w:pPr>
      <w:r w:rsidRPr="00E05304">
        <w:rPr>
          <w:rFonts w:ascii="Arial" w:hAnsi="Arial" w:cs="Arial"/>
          <w:bCs/>
          <w:noProof/>
          <w:szCs w:val="24"/>
          <w:lang w:val="mn-MN"/>
        </w:rPr>
        <w:t xml:space="preserve">9/ Шүүхийн ерөнхий зөвлөлийн гишүүдийн тогтвортой, хараат бус байх нөхцөлийг бүрдүүлэх үүднээс нийт гишүүдийг эрх зүйн байдлын хувьд орон тооны байх зарчмыг хадгалах; </w:t>
      </w:r>
    </w:p>
    <w:p w:rsidR="00DC5058" w:rsidRPr="00E05304" w:rsidRDefault="00DC5058" w:rsidP="00E05304">
      <w:pPr>
        <w:spacing w:after="0" w:line="240" w:lineRule="auto"/>
        <w:ind w:firstLine="720"/>
        <w:jc w:val="both"/>
        <w:rPr>
          <w:rFonts w:ascii="Arial" w:hAnsi="Arial" w:cs="Arial"/>
          <w:noProof/>
          <w:szCs w:val="24"/>
          <w:lang w:val="mn-MN"/>
        </w:rPr>
      </w:pPr>
    </w:p>
    <w:p w:rsidR="00B25A75" w:rsidRDefault="00B25A75" w:rsidP="00E05304">
      <w:pPr>
        <w:spacing w:after="0" w:line="240" w:lineRule="auto"/>
        <w:ind w:firstLine="720"/>
        <w:jc w:val="both"/>
        <w:rPr>
          <w:rFonts w:ascii="Arial" w:hAnsi="Arial" w:cs="Arial"/>
          <w:bCs/>
          <w:noProof/>
          <w:szCs w:val="24"/>
          <w:lang w:val="mn-MN"/>
        </w:rPr>
      </w:pPr>
      <w:r w:rsidRPr="00E05304">
        <w:rPr>
          <w:rFonts w:ascii="Arial" w:hAnsi="Arial" w:cs="Arial"/>
          <w:bCs/>
          <w:noProof/>
          <w:szCs w:val="24"/>
          <w:lang w:val="mn-MN"/>
        </w:rPr>
        <w:t xml:space="preserve">10/ Шүүхийн ерөнхий зөвлөлийн </w:t>
      </w:r>
      <w:r w:rsidRPr="00E05304">
        <w:rPr>
          <w:rFonts w:ascii="Arial" w:hAnsi="Arial" w:cs="Arial"/>
          <w:noProof/>
          <w:szCs w:val="24"/>
          <w:lang w:val="mn-MN"/>
        </w:rPr>
        <w:t xml:space="preserve">гишүүн бүрийн бүрэн эрхийн хугацааг гишүүдийн тэгш байдлыг хангах зорилгоор адил байхаар тогтоох, </w:t>
      </w:r>
      <w:r w:rsidRPr="00E05304">
        <w:rPr>
          <w:rFonts w:ascii="Arial" w:hAnsi="Arial" w:cs="Arial"/>
          <w:bCs/>
          <w:noProof/>
          <w:szCs w:val="24"/>
          <w:lang w:val="mn-MN"/>
        </w:rPr>
        <w:t>Зөвлөлийн гишүүний орон гарсан тохиолдолд нөхөн томилогдсон гишүүн нь тухайн орон гарсан гишүүний бүрэн эрхийн хугацаанд ажиллах, Шүүхийн ерөнхий зөвлөлийн дараагийн гишүүнийг нэр дэвшүүлэх ажиллагааг зөвлөлийн гишүүний бүрэн эрхийн хугацаа дуусахаас өмнө нээлттэй зохион байгуулах</w:t>
      </w:r>
      <w:r w:rsidR="001449F9" w:rsidRPr="00E05304">
        <w:rPr>
          <w:rFonts w:ascii="Arial" w:hAnsi="Arial" w:cs="Arial"/>
          <w:bCs/>
          <w:noProof/>
          <w:szCs w:val="24"/>
        </w:rPr>
        <w:t>;</w:t>
      </w:r>
    </w:p>
    <w:p w:rsidR="00DC5058" w:rsidRPr="00DC5058" w:rsidRDefault="00DC5058" w:rsidP="00E05304">
      <w:pPr>
        <w:spacing w:after="0" w:line="240" w:lineRule="auto"/>
        <w:ind w:firstLine="720"/>
        <w:jc w:val="both"/>
        <w:rPr>
          <w:rFonts w:ascii="Arial" w:hAnsi="Arial" w:cs="Arial"/>
          <w:bCs/>
          <w:noProof/>
          <w:szCs w:val="24"/>
          <w:lang w:val="mn-MN"/>
        </w:rPr>
      </w:pPr>
    </w:p>
    <w:p w:rsidR="001449F9" w:rsidRDefault="001449F9"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11/ Шүүхийн ерөнхий зөвлөл </w:t>
      </w:r>
      <w:r w:rsidR="00B25A75" w:rsidRPr="00E05304">
        <w:rPr>
          <w:rFonts w:ascii="Arial" w:hAnsi="Arial" w:cs="Arial"/>
          <w:noProof/>
          <w:szCs w:val="24"/>
          <w:lang w:val="mn-MN"/>
        </w:rPr>
        <w:t xml:space="preserve">шүүгчийн хараат бус, шүүхийн бие даасан байдлыг хангах чиг үүргийн хүрээнд хэрэгжүүлсэн үйл ажиллагааны тайланг </w:t>
      </w:r>
      <w:r w:rsidRPr="00E05304">
        <w:rPr>
          <w:rFonts w:ascii="Arial" w:hAnsi="Arial" w:cs="Arial"/>
          <w:noProof/>
          <w:szCs w:val="24"/>
          <w:lang w:val="mn-MN"/>
        </w:rPr>
        <w:t xml:space="preserve">Улсын дээд шүүхэд </w:t>
      </w:r>
      <w:r w:rsidR="00B25A75" w:rsidRPr="00E05304">
        <w:rPr>
          <w:rFonts w:ascii="Arial" w:hAnsi="Arial" w:cs="Arial"/>
          <w:noProof/>
          <w:szCs w:val="24"/>
          <w:lang w:val="mn-MN"/>
        </w:rPr>
        <w:t>танилцуулах</w:t>
      </w:r>
      <w:r w:rsidRPr="00E05304">
        <w:rPr>
          <w:rFonts w:ascii="Arial" w:hAnsi="Arial" w:cs="Arial"/>
          <w:noProof/>
          <w:szCs w:val="24"/>
        </w:rPr>
        <w:t>;</w:t>
      </w:r>
      <w:r w:rsidR="00B25A75" w:rsidRPr="00E05304">
        <w:rPr>
          <w:rFonts w:ascii="Arial" w:hAnsi="Arial" w:cs="Arial"/>
          <w:noProof/>
          <w:szCs w:val="24"/>
          <w:lang w:val="mn-MN"/>
        </w:rPr>
        <w:t xml:space="preserve"> </w:t>
      </w:r>
    </w:p>
    <w:p w:rsidR="00DC5058" w:rsidRPr="00E05304" w:rsidRDefault="00DC5058" w:rsidP="00E05304">
      <w:pPr>
        <w:spacing w:after="0" w:line="240" w:lineRule="auto"/>
        <w:ind w:firstLine="720"/>
        <w:jc w:val="both"/>
        <w:rPr>
          <w:rFonts w:ascii="Arial" w:hAnsi="Arial" w:cs="Arial"/>
          <w:noProof/>
          <w:szCs w:val="24"/>
          <w:lang w:val="mn-MN"/>
        </w:rPr>
      </w:pPr>
    </w:p>
    <w:p w:rsidR="00B25A75" w:rsidRDefault="001449F9" w:rsidP="00E05304">
      <w:pPr>
        <w:spacing w:after="0" w:line="240" w:lineRule="auto"/>
        <w:ind w:firstLine="720"/>
        <w:jc w:val="both"/>
        <w:rPr>
          <w:rFonts w:ascii="Arial" w:hAnsi="Arial" w:cs="Arial"/>
          <w:bCs/>
          <w:noProof/>
          <w:szCs w:val="24"/>
          <w:lang w:val="mn-MN"/>
        </w:rPr>
      </w:pPr>
      <w:r w:rsidRPr="00E05304">
        <w:rPr>
          <w:rFonts w:ascii="Arial" w:hAnsi="Arial" w:cs="Arial"/>
          <w:bCs/>
          <w:noProof/>
          <w:szCs w:val="24"/>
          <w:lang w:val="mn-MN"/>
        </w:rPr>
        <w:t xml:space="preserve">12/ </w:t>
      </w:r>
      <w:r w:rsidR="00B25A75" w:rsidRPr="00E05304">
        <w:rPr>
          <w:rFonts w:ascii="Arial" w:hAnsi="Arial" w:cs="Arial"/>
          <w:bCs/>
          <w:noProof/>
          <w:szCs w:val="24"/>
          <w:lang w:val="mn-MN"/>
        </w:rPr>
        <w:t>Шүүгчийг хуульчдаас шилж олох асуудлаар Ерөнхий зөвлөлийн гишүүд хараат бусаар шийдвэр гаргах нөхцөлийг бүрдүүлэх</w:t>
      </w:r>
      <w:r w:rsidRPr="00E05304">
        <w:rPr>
          <w:rFonts w:ascii="Arial" w:hAnsi="Arial" w:cs="Arial"/>
          <w:bCs/>
          <w:noProof/>
          <w:szCs w:val="24"/>
        </w:rPr>
        <w:t>;</w:t>
      </w:r>
    </w:p>
    <w:p w:rsidR="00DC5058" w:rsidRPr="00DC5058" w:rsidRDefault="00DC5058" w:rsidP="00E05304">
      <w:pPr>
        <w:spacing w:after="0" w:line="240" w:lineRule="auto"/>
        <w:ind w:firstLine="720"/>
        <w:jc w:val="both"/>
        <w:rPr>
          <w:rFonts w:ascii="Arial" w:hAnsi="Arial" w:cs="Arial"/>
          <w:bCs/>
          <w:noProof/>
          <w:szCs w:val="24"/>
          <w:lang w:val="mn-MN"/>
        </w:rPr>
      </w:pPr>
    </w:p>
    <w:p w:rsidR="001449F9" w:rsidRDefault="001449F9" w:rsidP="00E05304">
      <w:pPr>
        <w:spacing w:after="0" w:line="240" w:lineRule="auto"/>
        <w:ind w:firstLine="720"/>
        <w:jc w:val="both"/>
        <w:rPr>
          <w:rFonts w:ascii="Arial" w:hAnsi="Arial" w:cs="Arial"/>
          <w:bCs/>
          <w:noProof/>
          <w:szCs w:val="24"/>
          <w:lang w:val="mn-MN"/>
        </w:rPr>
      </w:pPr>
      <w:r w:rsidRPr="00E05304">
        <w:rPr>
          <w:rFonts w:ascii="Arial" w:hAnsi="Arial" w:cs="Arial"/>
          <w:bCs/>
          <w:noProof/>
          <w:szCs w:val="24"/>
          <w:lang w:val="mn-MN"/>
        </w:rPr>
        <w:t>13/ Шүүхийн хүний нөөцийн тогтвортой, мэргэшсэн байх нөхцөлийг хангахын тулд х</w:t>
      </w:r>
      <w:r w:rsidRPr="00E05304">
        <w:rPr>
          <w:rFonts w:ascii="Arial" w:hAnsi="Arial" w:cs="Arial"/>
          <w:bCs/>
          <w:noProof/>
          <w:szCs w:val="24"/>
        </w:rPr>
        <w:t>уульчийн мэргэжлийн үйл ажиллагаа эрхлэх зөвшөөрөл</w:t>
      </w:r>
      <w:r w:rsidRPr="00E05304">
        <w:rPr>
          <w:rFonts w:ascii="Arial" w:hAnsi="Arial" w:cs="Arial"/>
          <w:bCs/>
          <w:noProof/>
          <w:szCs w:val="24"/>
          <w:lang w:val="mn-MN"/>
        </w:rPr>
        <w:t>тэй этгээд</w:t>
      </w:r>
      <w:r w:rsidRPr="00E05304">
        <w:rPr>
          <w:rFonts w:ascii="Arial" w:hAnsi="Arial" w:cs="Arial"/>
          <w:bCs/>
          <w:noProof/>
          <w:szCs w:val="24"/>
        </w:rPr>
        <w:t xml:space="preserve"> </w:t>
      </w:r>
      <w:r w:rsidRPr="00E05304">
        <w:rPr>
          <w:rFonts w:ascii="Arial" w:hAnsi="Arial" w:cs="Arial"/>
          <w:bCs/>
          <w:noProof/>
          <w:szCs w:val="24"/>
          <w:lang w:val="mn-MN"/>
        </w:rPr>
        <w:t>шүүгчийн туслахаар ажилласан жилийг мэргэжлээрээ ажилласанд тооцох.</w:t>
      </w:r>
    </w:p>
    <w:p w:rsidR="00DC5058" w:rsidRPr="00E05304" w:rsidRDefault="00DC5058" w:rsidP="00E05304">
      <w:pPr>
        <w:spacing w:after="0" w:line="240" w:lineRule="auto"/>
        <w:ind w:firstLine="720"/>
        <w:jc w:val="both"/>
        <w:rPr>
          <w:rFonts w:ascii="Arial" w:hAnsi="Arial" w:cs="Arial"/>
          <w:bCs/>
          <w:noProof/>
          <w:szCs w:val="24"/>
          <w:lang w:val="mn-MN"/>
        </w:rPr>
      </w:pPr>
    </w:p>
    <w:p w:rsidR="00E1287C" w:rsidRDefault="00E1287C" w:rsidP="00E05304">
      <w:pPr>
        <w:shd w:val="clear" w:color="auto" w:fill="FFFFFF"/>
        <w:spacing w:after="0" w:line="240" w:lineRule="auto"/>
        <w:ind w:firstLine="720"/>
        <w:jc w:val="both"/>
        <w:textAlignment w:val="top"/>
        <w:rPr>
          <w:rFonts w:ascii="Arial" w:hAnsi="Arial" w:cs="Arial"/>
          <w:b/>
          <w:noProof/>
          <w:szCs w:val="24"/>
          <w:lang w:val="mn-MN"/>
        </w:rPr>
      </w:pPr>
      <w:r w:rsidRPr="00E05304">
        <w:rPr>
          <w:rFonts w:ascii="Arial" w:hAnsi="Arial" w:cs="Arial"/>
          <w:b/>
          <w:noProof/>
          <w:szCs w:val="24"/>
          <w:lang w:val="mn-MN"/>
        </w:rPr>
        <w:t>Гурав.Хуулийн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p>
    <w:p w:rsidR="00DC5058" w:rsidRPr="00E05304" w:rsidRDefault="00DC5058" w:rsidP="00E05304">
      <w:pPr>
        <w:shd w:val="clear" w:color="auto" w:fill="FFFFFF"/>
        <w:spacing w:after="0" w:line="240" w:lineRule="auto"/>
        <w:ind w:firstLine="720"/>
        <w:jc w:val="both"/>
        <w:textAlignment w:val="top"/>
        <w:rPr>
          <w:rFonts w:ascii="Arial" w:hAnsi="Arial" w:cs="Arial"/>
          <w:b/>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Хуулийн төсөл батлагдсанаар Монгол Улсын </w:t>
      </w:r>
      <w:r w:rsidR="001449F9" w:rsidRPr="00E05304">
        <w:rPr>
          <w:rFonts w:ascii="Arial" w:hAnsi="Arial" w:cs="Arial"/>
          <w:noProof/>
          <w:szCs w:val="24"/>
          <w:lang w:val="mn-MN"/>
        </w:rPr>
        <w:t>ш</w:t>
      </w:r>
      <w:r w:rsidRPr="00E05304">
        <w:rPr>
          <w:rFonts w:ascii="Arial" w:hAnsi="Arial" w:cs="Arial"/>
          <w:noProof/>
          <w:szCs w:val="24"/>
          <w:lang w:val="mn-MN"/>
        </w:rPr>
        <w:t xml:space="preserve">үүхийн тухай хуулийн </w:t>
      </w:r>
      <w:r w:rsidR="001449F9" w:rsidRPr="00E05304">
        <w:rPr>
          <w:rFonts w:ascii="Arial" w:hAnsi="Arial" w:cs="Arial"/>
          <w:noProof/>
          <w:szCs w:val="24"/>
          <w:lang w:val="mn-MN"/>
        </w:rPr>
        <w:t xml:space="preserve">шинэчилсэн найруулгын </w:t>
      </w:r>
      <w:r w:rsidRPr="00E05304">
        <w:rPr>
          <w:rFonts w:ascii="Arial" w:hAnsi="Arial" w:cs="Arial"/>
          <w:noProof/>
          <w:szCs w:val="24"/>
          <w:lang w:val="mn-MN"/>
        </w:rPr>
        <w:t>зохицуулалт Монгол Улсын Үндсэн хуульд бүрэн нийцэх төдийгүй шүүхийг тойргийн зарчмаар байгуулах үндэслэл, журам, шалгуур тодорхой болох, Улсын дээд шүүх Үндсэн хуульд заасан хууль тайлбарлах бүрэн эрхээ хэрэгжүүлэх боломжтой болох, шүүхийн төсвийн тогтвортой байдлыг бэхжүүлснээр шүүхийн бие даасан, шүүгчийн хараат бус байдал хамгаалагдах, улмаар иргэний шүүх эрх мэдэлд итгэх итгэл сэргэж, шударга шүүхээр шүүлгэх үндсэн эрх хангагдана.</w:t>
      </w:r>
    </w:p>
    <w:p w:rsidR="00DC5058" w:rsidRPr="00E05304" w:rsidRDefault="00DC5058"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lastRenderedPageBreak/>
        <w:t>Хуулийн төсөл батлагдсанаар гарах зардлын тооцоо, судалгааг Хууль тогтоомжийн тухай хуулийн 18 дугаар зүйл, Засгийн газрын 2016 оны 56 дугаар тогтоолоор баталсан  аргачлалын дагуу хийнэ.</w:t>
      </w:r>
    </w:p>
    <w:p w:rsidR="00DC5058" w:rsidRPr="00E05304" w:rsidRDefault="00DC5058" w:rsidP="00E05304">
      <w:pPr>
        <w:spacing w:after="0" w:line="240" w:lineRule="auto"/>
        <w:ind w:firstLine="720"/>
        <w:jc w:val="both"/>
        <w:rPr>
          <w:rFonts w:ascii="Arial" w:hAnsi="Arial" w:cs="Arial"/>
          <w:noProof/>
          <w:szCs w:val="24"/>
          <w:lang w:val="mn-MN"/>
        </w:rPr>
      </w:pPr>
    </w:p>
    <w:p w:rsidR="00E1287C" w:rsidRDefault="00E1287C" w:rsidP="00E05304">
      <w:pPr>
        <w:spacing w:after="0" w:line="240" w:lineRule="auto"/>
        <w:ind w:firstLine="720"/>
        <w:jc w:val="both"/>
        <w:rPr>
          <w:rFonts w:ascii="Arial" w:hAnsi="Arial" w:cs="Arial"/>
          <w:b/>
          <w:noProof/>
          <w:szCs w:val="24"/>
          <w:lang w:val="mn-MN"/>
        </w:rPr>
      </w:pPr>
      <w:r w:rsidRPr="00E05304">
        <w:rPr>
          <w:rFonts w:ascii="Arial" w:hAnsi="Arial" w:cs="Arial"/>
          <w:b/>
          <w:noProof/>
          <w:szCs w:val="24"/>
          <w:lang w:val="mn-MN"/>
        </w:rPr>
        <w:t>Дөрөв.Хуулийн төсөл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w:t>
      </w:r>
    </w:p>
    <w:p w:rsidR="00DC5058" w:rsidRPr="00E05304" w:rsidRDefault="00DC5058" w:rsidP="00E05304">
      <w:pPr>
        <w:spacing w:after="0" w:line="240" w:lineRule="auto"/>
        <w:ind w:firstLine="720"/>
        <w:jc w:val="both"/>
        <w:rPr>
          <w:rFonts w:ascii="Arial" w:hAnsi="Arial" w:cs="Arial"/>
          <w:b/>
          <w:noProof/>
          <w:szCs w:val="24"/>
          <w:lang w:val="mn-MN"/>
        </w:rPr>
      </w:pPr>
    </w:p>
    <w:p w:rsidR="00E1287C" w:rsidRPr="00E05304" w:rsidRDefault="00E1287C" w:rsidP="00E05304">
      <w:pPr>
        <w:spacing w:after="0" w:line="240" w:lineRule="auto"/>
        <w:ind w:firstLine="720"/>
        <w:jc w:val="both"/>
        <w:rPr>
          <w:rFonts w:ascii="Arial" w:hAnsi="Arial" w:cs="Arial"/>
          <w:noProof/>
          <w:szCs w:val="24"/>
          <w:lang w:val="mn-MN"/>
        </w:rPr>
      </w:pPr>
      <w:r w:rsidRPr="00E05304">
        <w:rPr>
          <w:rFonts w:ascii="Arial" w:hAnsi="Arial" w:cs="Arial"/>
          <w:noProof/>
          <w:szCs w:val="24"/>
          <w:lang w:val="mn-MN"/>
        </w:rPr>
        <w:t xml:space="preserve">Хуулийн төслийг Монгол Улсын Үндсэн хууль, Монгол Улсын олон улсын гэрээ болон холбогдох бусад хуультай нийцүүлэн боловсруулах бөгөөд хуулийн төсөлтэй холбогдуулан </w:t>
      </w:r>
      <w:r w:rsidR="00085C9E" w:rsidRPr="00E05304">
        <w:rPr>
          <w:rFonts w:ascii="Arial" w:hAnsi="Arial" w:cs="Arial"/>
          <w:noProof/>
          <w:szCs w:val="24"/>
          <w:lang w:val="mn-MN"/>
        </w:rPr>
        <w:t>Монгол Улсын шүүхийн тухай хууль, Шүүхийн захиргааны тухай хууль, Шүүхийн иргэдийн төлөөлөгч</w:t>
      </w:r>
      <w:r w:rsidR="00C000EB">
        <w:rPr>
          <w:rFonts w:ascii="Arial" w:hAnsi="Arial" w:cs="Arial"/>
          <w:noProof/>
          <w:szCs w:val="24"/>
          <w:lang w:val="mn-MN"/>
        </w:rPr>
        <w:t>ийн эрх зүйн байдлын тухай хуулийг</w:t>
      </w:r>
      <w:r w:rsidR="00085C9E" w:rsidRPr="00E05304">
        <w:rPr>
          <w:rFonts w:ascii="Arial" w:hAnsi="Arial" w:cs="Arial"/>
          <w:noProof/>
          <w:szCs w:val="24"/>
          <w:lang w:val="mn-MN"/>
        </w:rPr>
        <w:t xml:space="preserve"> тус тус хүчингүй болж, </w:t>
      </w:r>
      <w:r w:rsidRPr="00E05304">
        <w:rPr>
          <w:rFonts w:ascii="Arial" w:hAnsi="Arial" w:cs="Arial"/>
          <w:noProof/>
          <w:szCs w:val="24"/>
          <w:lang w:val="mn-MN"/>
        </w:rPr>
        <w:t>Монгол Улсын төсвийн тухай хууль, Улсын Их Хурлын 2016 оны “Шүүгчийн орон тоог шинэчлэн батлах тухай” 42 дугаар тогтоолд өөрчлөлт ор</w:t>
      </w:r>
      <w:r w:rsidR="00085C9E" w:rsidRPr="00E05304">
        <w:rPr>
          <w:rFonts w:ascii="Arial" w:hAnsi="Arial" w:cs="Arial"/>
          <w:noProof/>
          <w:szCs w:val="24"/>
          <w:lang w:val="mn-MN"/>
        </w:rPr>
        <w:t>но</w:t>
      </w:r>
      <w:r w:rsidRPr="00E05304">
        <w:rPr>
          <w:rFonts w:ascii="Arial" w:hAnsi="Arial" w:cs="Arial"/>
          <w:noProof/>
          <w:szCs w:val="24"/>
          <w:lang w:val="mn-MN"/>
        </w:rPr>
        <w:t>.</w:t>
      </w:r>
    </w:p>
    <w:p w:rsidR="001449F9" w:rsidRPr="00E05304" w:rsidRDefault="001449F9" w:rsidP="00E05304">
      <w:pPr>
        <w:spacing w:after="0" w:line="240" w:lineRule="auto"/>
        <w:jc w:val="both"/>
        <w:rPr>
          <w:rFonts w:ascii="Arial" w:hAnsi="Arial" w:cs="Arial"/>
          <w:noProof/>
          <w:szCs w:val="24"/>
          <w:lang w:val="mn-MN"/>
        </w:rPr>
      </w:pPr>
    </w:p>
    <w:p w:rsidR="001853A4" w:rsidRPr="00E05304" w:rsidRDefault="00E1287C" w:rsidP="00E05304">
      <w:pPr>
        <w:spacing w:after="0" w:line="240" w:lineRule="auto"/>
        <w:jc w:val="center"/>
        <w:rPr>
          <w:rFonts w:ascii="Arial" w:hAnsi="Arial" w:cs="Arial"/>
          <w:noProof/>
          <w:szCs w:val="24"/>
          <w:lang w:val="mn-MN"/>
        </w:rPr>
      </w:pPr>
      <w:r w:rsidRPr="00E05304">
        <w:rPr>
          <w:rFonts w:ascii="Arial" w:hAnsi="Arial" w:cs="Arial"/>
          <w:noProof/>
          <w:szCs w:val="24"/>
          <w:lang w:val="mn-MN"/>
        </w:rPr>
        <w:t>---оОо---</w:t>
      </w:r>
      <w:bookmarkStart w:id="0" w:name="_GoBack"/>
      <w:bookmarkEnd w:id="0"/>
    </w:p>
    <w:sectPr w:rsidR="001853A4" w:rsidRPr="00E05304" w:rsidSect="006679F7">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10" w:rsidRDefault="00FD5010" w:rsidP="00755CCC">
      <w:pPr>
        <w:spacing w:after="0" w:line="240" w:lineRule="auto"/>
      </w:pPr>
      <w:r>
        <w:separator/>
      </w:r>
    </w:p>
  </w:endnote>
  <w:endnote w:type="continuationSeparator" w:id="0">
    <w:p w:rsidR="00FD5010" w:rsidRDefault="00FD5010" w:rsidP="007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10" w:rsidRDefault="00FD5010" w:rsidP="00755CCC">
      <w:pPr>
        <w:spacing w:after="0" w:line="240" w:lineRule="auto"/>
      </w:pPr>
      <w:r>
        <w:separator/>
      </w:r>
    </w:p>
  </w:footnote>
  <w:footnote w:type="continuationSeparator" w:id="0">
    <w:p w:rsidR="00FD5010" w:rsidRDefault="00FD5010" w:rsidP="00755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A4F95"/>
    <w:multiLevelType w:val="hybridMultilevel"/>
    <w:tmpl w:val="8618EB88"/>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nsid w:val="50B44DF4"/>
    <w:multiLevelType w:val="hybridMultilevel"/>
    <w:tmpl w:val="EE04B232"/>
    <w:lvl w:ilvl="0" w:tplc="2A660428">
      <w:numFmt w:val="bullet"/>
      <w:lvlText w:val="-"/>
      <w:lvlJc w:val="left"/>
      <w:pPr>
        <w:ind w:left="1080" w:hanging="360"/>
      </w:pPr>
      <w:rPr>
        <w:rFonts w:ascii="Arial" w:eastAsia="Calibri"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
    <w:nsid w:val="743B4922"/>
    <w:multiLevelType w:val="hybridMultilevel"/>
    <w:tmpl w:val="50C29662"/>
    <w:lvl w:ilvl="0" w:tplc="DD5A55A6">
      <w:start w:val="3"/>
      <w:numFmt w:val="bullet"/>
      <w:lvlText w:val="-"/>
      <w:lvlJc w:val="left"/>
      <w:pPr>
        <w:ind w:left="1080" w:hanging="360"/>
      </w:pPr>
      <w:rPr>
        <w:rFonts w:ascii="Arial" w:eastAsia="Calibri"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
    <w:nsid w:val="7D07542E"/>
    <w:multiLevelType w:val="hybridMultilevel"/>
    <w:tmpl w:val="D1DC8062"/>
    <w:lvl w:ilvl="0" w:tplc="BE1A7B9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E5"/>
    <w:rsid w:val="00084670"/>
    <w:rsid w:val="00085C9E"/>
    <w:rsid w:val="000D5D88"/>
    <w:rsid w:val="001449F9"/>
    <w:rsid w:val="00172D31"/>
    <w:rsid w:val="001853A4"/>
    <w:rsid w:val="00193304"/>
    <w:rsid w:val="001B5318"/>
    <w:rsid w:val="0024302A"/>
    <w:rsid w:val="002618E0"/>
    <w:rsid w:val="00366DE5"/>
    <w:rsid w:val="00383EC1"/>
    <w:rsid w:val="003951F3"/>
    <w:rsid w:val="00432BBD"/>
    <w:rsid w:val="00436CCF"/>
    <w:rsid w:val="004755AD"/>
    <w:rsid w:val="00523C34"/>
    <w:rsid w:val="005312D2"/>
    <w:rsid w:val="00537397"/>
    <w:rsid w:val="00590F23"/>
    <w:rsid w:val="005A6A27"/>
    <w:rsid w:val="005F362B"/>
    <w:rsid w:val="00661479"/>
    <w:rsid w:val="006679F7"/>
    <w:rsid w:val="006915A4"/>
    <w:rsid w:val="00695799"/>
    <w:rsid w:val="006F3314"/>
    <w:rsid w:val="00724B53"/>
    <w:rsid w:val="00755CCC"/>
    <w:rsid w:val="00773C1E"/>
    <w:rsid w:val="007D2100"/>
    <w:rsid w:val="007E4EB7"/>
    <w:rsid w:val="007F0B11"/>
    <w:rsid w:val="008A3C37"/>
    <w:rsid w:val="008B62D2"/>
    <w:rsid w:val="008E31D3"/>
    <w:rsid w:val="0092639E"/>
    <w:rsid w:val="00927352"/>
    <w:rsid w:val="00946601"/>
    <w:rsid w:val="00984A97"/>
    <w:rsid w:val="00985587"/>
    <w:rsid w:val="00A018CB"/>
    <w:rsid w:val="00AA41F5"/>
    <w:rsid w:val="00AA7291"/>
    <w:rsid w:val="00AC198F"/>
    <w:rsid w:val="00AC7F45"/>
    <w:rsid w:val="00AE23F5"/>
    <w:rsid w:val="00AF20F3"/>
    <w:rsid w:val="00B1237C"/>
    <w:rsid w:val="00B14F3A"/>
    <w:rsid w:val="00B25A75"/>
    <w:rsid w:val="00B5120A"/>
    <w:rsid w:val="00C000EB"/>
    <w:rsid w:val="00C101D7"/>
    <w:rsid w:val="00CC43BA"/>
    <w:rsid w:val="00CD4527"/>
    <w:rsid w:val="00CE616C"/>
    <w:rsid w:val="00CE73C5"/>
    <w:rsid w:val="00DC5058"/>
    <w:rsid w:val="00DE1045"/>
    <w:rsid w:val="00E05304"/>
    <w:rsid w:val="00E1287C"/>
    <w:rsid w:val="00E4044C"/>
    <w:rsid w:val="00E853D5"/>
    <w:rsid w:val="00EB10C2"/>
    <w:rsid w:val="00EB7877"/>
    <w:rsid w:val="00ED3392"/>
    <w:rsid w:val="00F26479"/>
    <w:rsid w:val="00F86C76"/>
    <w:rsid w:val="00FA49DC"/>
    <w:rsid w:val="00FD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E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DE5"/>
    <w:rPr>
      <w:szCs w:val="24"/>
    </w:rPr>
  </w:style>
  <w:style w:type="paragraph" w:styleId="BalloonText">
    <w:name w:val="Balloon Text"/>
    <w:basedOn w:val="Normal"/>
    <w:link w:val="BalloonTextChar"/>
    <w:uiPriority w:val="99"/>
    <w:semiHidden/>
    <w:unhideWhenUsed/>
    <w:rsid w:val="0092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9E"/>
    <w:rPr>
      <w:rFonts w:ascii="Segoe UI" w:eastAsia="Calibri" w:hAnsi="Segoe UI" w:cs="Segoe UI"/>
      <w:sz w:val="18"/>
      <w:szCs w:val="18"/>
    </w:rPr>
  </w:style>
  <w:style w:type="paragraph" w:styleId="Header">
    <w:name w:val="header"/>
    <w:basedOn w:val="Normal"/>
    <w:link w:val="HeaderChar"/>
    <w:uiPriority w:val="99"/>
    <w:unhideWhenUsed/>
    <w:rsid w:val="007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CC"/>
    <w:rPr>
      <w:rFonts w:eastAsia="Calibri" w:cs="Times New Roman"/>
    </w:rPr>
  </w:style>
  <w:style w:type="paragraph" w:styleId="Footer">
    <w:name w:val="footer"/>
    <w:basedOn w:val="Normal"/>
    <w:link w:val="FooterChar"/>
    <w:uiPriority w:val="99"/>
    <w:unhideWhenUsed/>
    <w:rsid w:val="007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CC"/>
    <w:rPr>
      <w:rFonts w:eastAsia="Calibri" w:cs="Times New Roman"/>
    </w:rPr>
  </w:style>
  <w:style w:type="paragraph" w:styleId="ListParagraph">
    <w:name w:val="List Paragraph"/>
    <w:basedOn w:val="Normal"/>
    <w:uiPriority w:val="34"/>
    <w:qFormat/>
    <w:rsid w:val="00E12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E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DE5"/>
    <w:rPr>
      <w:szCs w:val="24"/>
    </w:rPr>
  </w:style>
  <w:style w:type="paragraph" w:styleId="BalloonText">
    <w:name w:val="Balloon Text"/>
    <w:basedOn w:val="Normal"/>
    <w:link w:val="BalloonTextChar"/>
    <w:uiPriority w:val="99"/>
    <w:semiHidden/>
    <w:unhideWhenUsed/>
    <w:rsid w:val="0092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9E"/>
    <w:rPr>
      <w:rFonts w:ascii="Segoe UI" w:eastAsia="Calibri" w:hAnsi="Segoe UI" w:cs="Segoe UI"/>
      <w:sz w:val="18"/>
      <w:szCs w:val="18"/>
    </w:rPr>
  </w:style>
  <w:style w:type="paragraph" w:styleId="Header">
    <w:name w:val="header"/>
    <w:basedOn w:val="Normal"/>
    <w:link w:val="HeaderChar"/>
    <w:uiPriority w:val="99"/>
    <w:unhideWhenUsed/>
    <w:rsid w:val="007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CC"/>
    <w:rPr>
      <w:rFonts w:eastAsia="Calibri" w:cs="Times New Roman"/>
    </w:rPr>
  </w:style>
  <w:style w:type="paragraph" w:styleId="Footer">
    <w:name w:val="footer"/>
    <w:basedOn w:val="Normal"/>
    <w:link w:val="FooterChar"/>
    <w:uiPriority w:val="99"/>
    <w:unhideWhenUsed/>
    <w:rsid w:val="007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CC"/>
    <w:rPr>
      <w:rFonts w:eastAsia="Calibri" w:cs="Times New Roman"/>
    </w:rPr>
  </w:style>
  <w:style w:type="paragraph" w:styleId="ListParagraph">
    <w:name w:val="List Paragraph"/>
    <w:basedOn w:val="Normal"/>
    <w:uiPriority w:val="34"/>
    <w:qFormat/>
    <w:rsid w:val="00E1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973">
      <w:bodyDiv w:val="1"/>
      <w:marLeft w:val="0"/>
      <w:marRight w:val="0"/>
      <w:marTop w:val="0"/>
      <w:marBottom w:val="0"/>
      <w:divBdr>
        <w:top w:val="none" w:sz="0" w:space="0" w:color="auto"/>
        <w:left w:val="none" w:sz="0" w:space="0" w:color="auto"/>
        <w:bottom w:val="none" w:sz="0" w:space="0" w:color="auto"/>
        <w:right w:val="none" w:sz="0" w:space="0" w:color="auto"/>
      </w:divBdr>
    </w:div>
    <w:div w:id="353768265">
      <w:bodyDiv w:val="1"/>
      <w:marLeft w:val="0"/>
      <w:marRight w:val="0"/>
      <w:marTop w:val="0"/>
      <w:marBottom w:val="0"/>
      <w:divBdr>
        <w:top w:val="none" w:sz="0" w:space="0" w:color="auto"/>
        <w:left w:val="none" w:sz="0" w:space="0" w:color="auto"/>
        <w:bottom w:val="none" w:sz="0" w:space="0" w:color="auto"/>
        <w:right w:val="none" w:sz="0" w:space="0" w:color="auto"/>
      </w:divBdr>
    </w:div>
    <w:div w:id="733310644">
      <w:bodyDiv w:val="1"/>
      <w:marLeft w:val="0"/>
      <w:marRight w:val="0"/>
      <w:marTop w:val="0"/>
      <w:marBottom w:val="0"/>
      <w:divBdr>
        <w:top w:val="none" w:sz="0" w:space="0" w:color="auto"/>
        <w:left w:val="none" w:sz="0" w:space="0" w:color="auto"/>
        <w:bottom w:val="none" w:sz="0" w:space="0" w:color="auto"/>
        <w:right w:val="none" w:sz="0" w:space="0" w:color="auto"/>
      </w:divBdr>
    </w:div>
    <w:div w:id="836962576">
      <w:bodyDiv w:val="1"/>
      <w:marLeft w:val="0"/>
      <w:marRight w:val="0"/>
      <w:marTop w:val="0"/>
      <w:marBottom w:val="0"/>
      <w:divBdr>
        <w:top w:val="none" w:sz="0" w:space="0" w:color="auto"/>
        <w:left w:val="none" w:sz="0" w:space="0" w:color="auto"/>
        <w:bottom w:val="none" w:sz="0" w:space="0" w:color="auto"/>
        <w:right w:val="none" w:sz="0" w:space="0" w:color="auto"/>
      </w:divBdr>
    </w:div>
    <w:div w:id="19326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OTGONBAYAR</cp:lastModifiedBy>
  <cp:revision>3</cp:revision>
  <cp:lastPrinted>2020-02-11T06:47:00Z</cp:lastPrinted>
  <dcterms:created xsi:type="dcterms:W3CDTF">2020-03-16T07:02:00Z</dcterms:created>
  <dcterms:modified xsi:type="dcterms:W3CDTF">2020-03-16T11:28:00Z</dcterms:modified>
</cp:coreProperties>
</file>