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25" w:rsidRPr="00F565BF" w:rsidRDefault="00F565BF" w:rsidP="00CC7738">
      <w:pPr>
        <w:widowControl w:val="0"/>
        <w:autoSpaceDE w:val="0"/>
        <w:autoSpaceDN w:val="0"/>
        <w:adjustRightInd w:val="0"/>
        <w:spacing w:after="0" w:line="240" w:lineRule="auto"/>
        <w:ind w:left="720" w:hanging="720"/>
        <w:jc w:val="right"/>
        <w:rPr>
          <w:rFonts w:cs="Arial"/>
          <w:b/>
          <w:bCs/>
          <w:color w:val="000000"/>
          <w:szCs w:val="24"/>
          <w:u w:val="single"/>
          <w:shd w:val="clear" w:color="auto" w:fill="FFFFFF"/>
        </w:rPr>
      </w:pPr>
      <w:r>
        <w:rPr>
          <w:rFonts w:cs="Arial"/>
          <w:b/>
          <w:bCs/>
          <w:color w:val="000000"/>
          <w:szCs w:val="24"/>
          <w:u w:val="single"/>
          <w:shd w:val="clear" w:color="auto" w:fill="FFFFFF"/>
        </w:rPr>
        <w:t>Төсөл</w:t>
      </w:r>
    </w:p>
    <w:p w:rsidR="00BA0BFF" w:rsidRPr="001729DE" w:rsidRDefault="00BA0BFF" w:rsidP="0017695C">
      <w:pPr>
        <w:widowControl w:val="0"/>
        <w:autoSpaceDE w:val="0"/>
        <w:autoSpaceDN w:val="0"/>
        <w:adjustRightInd w:val="0"/>
        <w:spacing w:after="0" w:line="240" w:lineRule="auto"/>
        <w:rPr>
          <w:rFonts w:cs="Arial"/>
          <w:b/>
          <w:bCs/>
          <w:color w:val="000000"/>
          <w:szCs w:val="24"/>
          <w:shd w:val="clear" w:color="auto" w:fill="FFFFFF"/>
        </w:rPr>
      </w:pPr>
      <w:r>
        <w:rPr>
          <w:rFonts w:cs="Arial"/>
          <w:b/>
          <w:bCs/>
          <w:color w:val="000000"/>
          <w:szCs w:val="24"/>
          <w:shd w:val="clear" w:color="auto" w:fill="FFFFFF"/>
        </w:rPr>
        <w:t>БАТЛАВ</w:t>
      </w:r>
      <w:r w:rsidRPr="001729DE">
        <w:rPr>
          <w:rFonts w:cs="Arial"/>
          <w:b/>
          <w:bCs/>
          <w:color w:val="000000"/>
          <w:szCs w:val="24"/>
          <w:shd w:val="clear" w:color="auto" w:fill="FFFFFF"/>
        </w:rPr>
        <w:t xml:space="preserve">. </w:t>
      </w:r>
    </w:p>
    <w:p w:rsidR="00BA0BFF" w:rsidRPr="001729DE" w:rsidRDefault="00BA0BFF" w:rsidP="0017695C">
      <w:pPr>
        <w:widowControl w:val="0"/>
        <w:autoSpaceDE w:val="0"/>
        <w:autoSpaceDN w:val="0"/>
        <w:adjustRightInd w:val="0"/>
        <w:spacing w:after="0" w:line="240" w:lineRule="auto"/>
        <w:rPr>
          <w:rFonts w:cs="Arial"/>
          <w:b/>
          <w:bCs/>
          <w:color w:val="000000"/>
          <w:szCs w:val="24"/>
          <w:shd w:val="clear" w:color="auto" w:fill="FFFFFF"/>
        </w:rPr>
      </w:pPr>
    </w:p>
    <w:p w:rsidR="008208A1" w:rsidRDefault="008208A1" w:rsidP="0017695C">
      <w:pPr>
        <w:widowControl w:val="0"/>
        <w:autoSpaceDE w:val="0"/>
        <w:autoSpaceDN w:val="0"/>
        <w:adjustRightInd w:val="0"/>
        <w:spacing w:after="0" w:line="240" w:lineRule="auto"/>
        <w:jc w:val="both"/>
        <w:rPr>
          <w:rFonts w:cs="Arial"/>
          <w:b/>
          <w:bCs/>
          <w:color w:val="000000"/>
          <w:szCs w:val="24"/>
          <w:shd w:val="clear" w:color="auto" w:fill="FFFFFF"/>
        </w:rPr>
      </w:pPr>
      <w:r>
        <w:rPr>
          <w:rFonts w:cs="Arial"/>
          <w:b/>
          <w:bCs/>
          <w:color w:val="000000"/>
          <w:szCs w:val="24"/>
          <w:shd w:val="clear" w:color="auto" w:fill="FFFFFF"/>
        </w:rPr>
        <w:t xml:space="preserve">МОНГОЛ УЛСЫН </w:t>
      </w:r>
    </w:p>
    <w:p w:rsidR="00143983" w:rsidRPr="00BA0BFF" w:rsidRDefault="008208A1" w:rsidP="0017695C">
      <w:pPr>
        <w:widowControl w:val="0"/>
        <w:autoSpaceDE w:val="0"/>
        <w:autoSpaceDN w:val="0"/>
        <w:adjustRightInd w:val="0"/>
        <w:spacing w:after="0" w:line="240" w:lineRule="auto"/>
        <w:jc w:val="both"/>
        <w:rPr>
          <w:rFonts w:cs="Arial"/>
          <w:b/>
          <w:bCs/>
          <w:color w:val="000000"/>
          <w:szCs w:val="24"/>
          <w:shd w:val="clear" w:color="auto" w:fill="FFFFFF"/>
        </w:rPr>
      </w:pPr>
      <w:r>
        <w:rPr>
          <w:rFonts w:cs="Arial"/>
          <w:b/>
          <w:bCs/>
          <w:color w:val="000000"/>
          <w:szCs w:val="24"/>
          <w:shd w:val="clear" w:color="auto" w:fill="FFFFFF"/>
        </w:rPr>
        <w:t>ЕРӨНХИЙЛӨГЧ</w:t>
      </w:r>
      <w:r>
        <w:rPr>
          <w:rFonts w:cs="Arial"/>
          <w:b/>
          <w:bCs/>
          <w:color w:val="000000"/>
          <w:szCs w:val="24"/>
          <w:shd w:val="clear" w:color="auto" w:fill="FFFFFF"/>
        </w:rPr>
        <w:tab/>
      </w:r>
      <w:r>
        <w:rPr>
          <w:rFonts w:cs="Arial"/>
          <w:b/>
          <w:bCs/>
          <w:color w:val="000000"/>
          <w:szCs w:val="24"/>
          <w:shd w:val="clear" w:color="auto" w:fill="FFFFFF"/>
        </w:rPr>
        <w:tab/>
      </w:r>
      <w:r>
        <w:rPr>
          <w:rFonts w:cs="Arial"/>
          <w:b/>
          <w:bCs/>
          <w:color w:val="000000"/>
          <w:szCs w:val="24"/>
          <w:shd w:val="clear" w:color="auto" w:fill="FFFFFF"/>
        </w:rPr>
        <w:tab/>
      </w:r>
      <w:r>
        <w:rPr>
          <w:rFonts w:cs="Arial"/>
          <w:b/>
          <w:bCs/>
          <w:color w:val="000000"/>
          <w:szCs w:val="24"/>
          <w:shd w:val="clear" w:color="auto" w:fill="FFFFFF"/>
        </w:rPr>
        <w:tab/>
        <w:t>ХАЛТМААГИЙН БАТТУЛГА</w:t>
      </w:r>
    </w:p>
    <w:p w:rsidR="00BA0BFF" w:rsidRPr="001729DE" w:rsidRDefault="00BA0BFF" w:rsidP="0017695C">
      <w:pPr>
        <w:widowControl w:val="0"/>
        <w:autoSpaceDE w:val="0"/>
        <w:autoSpaceDN w:val="0"/>
        <w:adjustRightInd w:val="0"/>
        <w:spacing w:after="0" w:line="240" w:lineRule="auto"/>
        <w:jc w:val="both"/>
        <w:rPr>
          <w:rFonts w:cs="Arial"/>
          <w:b/>
          <w:bCs/>
          <w:color w:val="000000"/>
          <w:szCs w:val="24"/>
          <w:shd w:val="clear" w:color="auto" w:fill="FFFFFF"/>
        </w:rPr>
      </w:pPr>
    </w:p>
    <w:p w:rsidR="00BA0BFF" w:rsidRDefault="00BA0BFF" w:rsidP="0017695C">
      <w:pPr>
        <w:widowControl w:val="0"/>
        <w:autoSpaceDE w:val="0"/>
        <w:autoSpaceDN w:val="0"/>
        <w:adjustRightInd w:val="0"/>
        <w:spacing w:after="0" w:line="240" w:lineRule="auto"/>
        <w:jc w:val="both"/>
        <w:rPr>
          <w:rFonts w:cs="Arial"/>
          <w:b/>
          <w:bCs/>
          <w:color w:val="000000"/>
          <w:szCs w:val="24"/>
          <w:shd w:val="clear" w:color="auto" w:fill="FFFFFF"/>
        </w:rPr>
      </w:pPr>
    </w:p>
    <w:p w:rsidR="00BA0BFF" w:rsidRPr="003A3960" w:rsidRDefault="00BA0BFF" w:rsidP="0017695C">
      <w:pPr>
        <w:widowControl w:val="0"/>
        <w:autoSpaceDE w:val="0"/>
        <w:autoSpaceDN w:val="0"/>
        <w:adjustRightInd w:val="0"/>
        <w:spacing w:after="0" w:line="240" w:lineRule="auto"/>
        <w:jc w:val="both"/>
        <w:rPr>
          <w:rFonts w:cs="Arial"/>
          <w:szCs w:val="24"/>
        </w:rPr>
      </w:pPr>
    </w:p>
    <w:p w:rsidR="00BA0BFF" w:rsidRPr="003A3960" w:rsidRDefault="00BA0BFF" w:rsidP="008208A1">
      <w:pPr>
        <w:pStyle w:val="BodyText"/>
        <w:rPr>
          <w:rFonts w:ascii="Arial" w:hAnsi="Arial" w:cs="Arial"/>
        </w:rPr>
      </w:pPr>
      <w:r>
        <w:rPr>
          <w:rFonts w:ascii="Arial" w:hAnsi="Arial" w:cs="Arial"/>
        </w:rPr>
        <w:t>ХУУЛЬЧ</w:t>
      </w:r>
      <w:r w:rsidR="008208A1">
        <w:rPr>
          <w:rFonts w:ascii="Arial" w:hAnsi="Arial" w:cs="Arial"/>
        </w:rPr>
        <w:t xml:space="preserve">ИЙН ЭРХ ЗҮЙН БАЙДЛЫН ТУХАЙ ХУУЛИЙН </w:t>
      </w:r>
    </w:p>
    <w:p w:rsidR="00BA0BFF" w:rsidRPr="003A3960" w:rsidRDefault="008208A1" w:rsidP="0017695C">
      <w:pPr>
        <w:pStyle w:val="BodyText"/>
        <w:rPr>
          <w:rFonts w:ascii="Arial" w:hAnsi="Arial" w:cs="Arial"/>
        </w:rPr>
      </w:pPr>
      <w:r>
        <w:rPr>
          <w:rFonts w:ascii="Arial" w:hAnsi="Arial" w:cs="Arial"/>
        </w:rPr>
        <w:t xml:space="preserve">ШИНЭЧИЛСЭН НАЙРУУЛГЫН ТӨСЛИЙН </w:t>
      </w:r>
      <w:r w:rsidR="00BA0BFF" w:rsidRPr="003A3960">
        <w:rPr>
          <w:rFonts w:ascii="Arial" w:hAnsi="Arial" w:cs="Arial"/>
        </w:rPr>
        <w:t>ҮЗЭЛ БАРИМТЛАЛ</w:t>
      </w:r>
    </w:p>
    <w:p w:rsidR="00BA0BFF" w:rsidRPr="003A3960" w:rsidRDefault="00BA0BFF" w:rsidP="0017695C">
      <w:pPr>
        <w:pStyle w:val="BodyText"/>
        <w:rPr>
          <w:rFonts w:ascii="Arial" w:hAnsi="Arial" w:cs="Arial"/>
        </w:rPr>
      </w:pPr>
    </w:p>
    <w:p w:rsidR="00BA0BFF" w:rsidRPr="003A3960" w:rsidRDefault="00BA0BFF" w:rsidP="0017695C">
      <w:pPr>
        <w:pStyle w:val="BodyText"/>
        <w:ind w:firstLine="720"/>
        <w:jc w:val="both"/>
        <w:rPr>
          <w:rFonts w:ascii="Arial" w:hAnsi="Arial" w:cs="Arial"/>
        </w:rPr>
      </w:pPr>
      <w:r>
        <w:rPr>
          <w:rFonts w:ascii="Arial" w:hAnsi="Arial" w:cs="Arial"/>
        </w:rPr>
        <w:t>Нэг.</w:t>
      </w:r>
      <w:r w:rsidRPr="003A3960">
        <w:rPr>
          <w:rFonts w:ascii="Arial" w:hAnsi="Arial" w:cs="Arial"/>
        </w:rPr>
        <w:t>Хуулийн</w:t>
      </w:r>
      <w:r>
        <w:rPr>
          <w:rFonts w:ascii="Arial" w:hAnsi="Arial" w:cs="Arial"/>
        </w:rPr>
        <w:t xml:space="preserve"> </w:t>
      </w:r>
      <w:r w:rsidRPr="003A3960">
        <w:rPr>
          <w:rFonts w:ascii="Arial" w:hAnsi="Arial" w:cs="Arial"/>
        </w:rPr>
        <w:t>төсөл</w:t>
      </w:r>
      <w:r>
        <w:rPr>
          <w:rFonts w:ascii="Arial" w:hAnsi="Arial" w:cs="Arial"/>
        </w:rPr>
        <w:t xml:space="preserve"> </w:t>
      </w:r>
      <w:r w:rsidRPr="003A3960">
        <w:rPr>
          <w:rFonts w:ascii="Arial" w:hAnsi="Arial" w:cs="Arial"/>
        </w:rPr>
        <w:t>боловсруулах</w:t>
      </w:r>
      <w:r>
        <w:rPr>
          <w:rFonts w:ascii="Arial" w:hAnsi="Arial" w:cs="Arial"/>
        </w:rPr>
        <w:t xml:space="preserve"> </w:t>
      </w:r>
      <w:r w:rsidRPr="003A3960">
        <w:rPr>
          <w:rFonts w:ascii="Arial" w:hAnsi="Arial" w:cs="Arial"/>
        </w:rPr>
        <w:t xml:space="preserve">үндэслэл, шаардлага:  </w:t>
      </w:r>
    </w:p>
    <w:p w:rsidR="00BA0BFF" w:rsidRPr="003A3960" w:rsidRDefault="00BA0BFF" w:rsidP="0017695C">
      <w:pPr>
        <w:pStyle w:val="BodyText"/>
        <w:jc w:val="both"/>
        <w:rPr>
          <w:rFonts w:ascii="Arial" w:hAnsi="Arial" w:cs="Arial"/>
        </w:rPr>
      </w:pPr>
    </w:p>
    <w:p w:rsidR="00143983" w:rsidRDefault="00143983" w:rsidP="0017695C">
      <w:pPr>
        <w:spacing w:after="0" w:line="240" w:lineRule="auto"/>
        <w:ind w:firstLine="720"/>
        <w:contextualSpacing/>
        <w:jc w:val="both"/>
      </w:pPr>
      <w:r>
        <w:t xml:space="preserve">Хуульчийн эрх зүйн байдлын тухай хууль нь хуульчдын үйл ажиллагааны хариуцлага, ил тод байдлыг нэмэгдүүлэх, тэдгээрийн үйл ажиллагаанд нэгдсэн шаардлага, стандарт, хариуцлагын тогтолцоог бий болгох, уг арга замаар тэдгээрийн мэдлэг, ур чадвар, ёс зүйг нэмэгдүүлэн хуульчдын нэр хүнд, олон нийтийн итгэл, хүндлэлийг олж авах, хуульчдын өөрөө удирдах ёсны байгууллагын зохистой бүтцийг бий болгох зорилгоор батлагдсан. </w:t>
      </w:r>
    </w:p>
    <w:p w:rsidR="00143983" w:rsidRDefault="00143983" w:rsidP="0017695C">
      <w:pPr>
        <w:spacing w:after="0" w:line="240" w:lineRule="auto"/>
        <w:ind w:firstLine="567"/>
        <w:contextualSpacing/>
        <w:jc w:val="both"/>
      </w:pPr>
    </w:p>
    <w:p w:rsidR="00327EB7" w:rsidRPr="00F168EA" w:rsidRDefault="00143983" w:rsidP="0017695C">
      <w:pPr>
        <w:spacing w:after="0" w:line="240" w:lineRule="auto"/>
        <w:ind w:firstLine="720"/>
        <w:contextualSpacing/>
        <w:jc w:val="both"/>
      </w:pPr>
      <w:r>
        <w:t>Хуульчийн эрх зүйн байдлын</w:t>
      </w:r>
      <w:r w:rsidR="001E6BC3">
        <w:t xml:space="preserve"> </w:t>
      </w:r>
      <w:r>
        <w:t>тухай хууль батлагдсанаар тухайн үед зохицуулалт хангалтгүй байсан хууль зүйн дэд бүтэц, хуульчдын хүрээ, тэдний мэргэжлийн үйл ажиллагааг зохицуулах эрх зүйн нэгдсэн тогтолцоог бүрдүүлэх чухал алхам болсон</w:t>
      </w:r>
      <w:r w:rsidR="00F168EA">
        <w:t>.</w:t>
      </w:r>
    </w:p>
    <w:p w:rsidR="00327EB7" w:rsidRDefault="00327EB7" w:rsidP="0017695C">
      <w:pPr>
        <w:spacing w:after="0" w:line="240" w:lineRule="auto"/>
        <w:ind w:firstLine="720"/>
        <w:contextualSpacing/>
        <w:jc w:val="both"/>
      </w:pPr>
    </w:p>
    <w:p w:rsidR="00D45630" w:rsidRDefault="00712724" w:rsidP="0017695C">
      <w:pPr>
        <w:spacing w:after="0" w:line="240" w:lineRule="auto"/>
        <w:ind w:firstLine="720"/>
        <w:contextualSpacing/>
        <w:jc w:val="both"/>
        <w:rPr>
          <w:rFonts w:cs="Arial"/>
          <w:bCs/>
          <w:color w:val="000000"/>
          <w:szCs w:val="24"/>
          <w:shd w:val="clear" w:color="auto" w:fill="FFFFFF"/>
        </w:rPr>
      </w:pPr>
      <w:r>
        <w:rPr>
          <w:rFonts w:cs="Arial"/>
          <w:bCs/>
          <w:color w:val="000000"/>
          <w:szCs w:val="24"/>
          <w:shd w:val="clear" w:color="auto" w:fill="FFFFFF"/>
        </w:rPr>
        <w:t>Ш</w:t>
      </w:r>
      <w:r w:rsidR="005A55A5">
        <w:rPr>
          <w:rFonts w:cs="Arial"/>
          <w:bCs/>
          <w:color w:val="000000"/>
          <w:szCs w:val="24"/>
          <w:shd w:val="clear" w:color="auto" w:fill="FFFFFF"/>
        </w:rPr>
        <w:t xml:space="preserve">үүгч, прокурор, өмгөөлөгч, </w:t>
      </w:r>
      <w:r w:rsidR="00327EB7" w:rsidRPr="00967CC0">
        <w:rPr>
          <w:rFonts w:cs="Arial"/>
          <w:bCs/>
          <w:color w:val="000000"/>
          <w:szCs w:val="24"/>
          <w:shd w:val="clear" w:color="auto" w:fill="FFFFFF"/>
        </w:rPr>
        <w:t>хуулийн зөвлөх</w:t>
      </w:r>
      <w:r w:rsidR="00327EB7">
        <w:rPr>
          <w:rFonts w:cs="Arial"/>
          <w:bCs/>
          <w:color w:val="000000"/>
          <w:szCs w:val="24"/>
          <w:shd w:val="clear" w:color="auto" w:fill="FFFFFF"/>
        </w:rPr>
        <w:t>, төр, захиргааны байгууллага, хувийн хэвшилд</w:t>
      </w:r>
      <w:r w:rsidR="00327EB7" w:rsidRPr="00967CC0">
        <w:rPr>
          <w:rFonts w:cs="Arial"/>
          <w:bCs/>
          <w:color w:val="000000"/>
          <w:szCs w:val="24"/>
          <w:shd w:val="clear" w:color="auto" w:fill="FFFFFF"/>
        </w:rPr>
        <w:t xml:space="preserve"> ажилладаг хуульч зэрэг тухайн салбарын </w:t>
      </w:r>
      <w:r w:rsidR="00327EB7">
        <w:rPr>
          <w:rFonts w:cs="Arial"/>
          <w:bCs/>
          <w:color w:val="000000"/>
          <w:szCs w:val="24"/>
          <w:shd w:val="clear" w:color="auto" w:fill="FFFFFF"/>
        </w:rPr>
        <w:t>нийт мэргэжилтнүүдийг нэгтгэсэн</w:t>
      </w:r>
      <w:r w:rsidR="00327EB7" w:rsidRPr="00967CC0">
        <w:rPr>
          <w:rFonts w:cs="Arial"/>
          <w:bCs/>
          <w:color w:val="000000"/>
          <w:szCs w:val="24"/>
          <w:shd w:val="clear" w:color="auto" w:fill="FFFFFF"/>
        </w:rPr>
        <w:t>, өргөн цар хүрээнд үйл ажиллагаа явуулах боломж бүхий</w:t>
      </w:r>
      <w:r w:rsidR="00F168EA">
        <w:rPr>
          <w:rFonts w:cs="Arial"/>
          <w:bCs/>
          <w:color w:val="000000"/>
          <w:szCs w:val="24"/>
          <w:shd w:val="clear" w:color="auto" w:fill="FFFFFF"/>
        </w:rPr>
        <w:t xml:space="preserve"> </w:t>
      </w:r>
      <w:r w:rsidR="00F168EA">
        <w:t>хуульчдын өөрөө удирдах ёсны байгууллага болох</w:t>
      </w:r>
      <w:r w:rsidR="00327EB7" w:rsidRPr="00967CC0">
        <w:rPr>
          <w:rFonts w:cs="Arial"/>
          <w:bCs/>
          <w:color w:val="000000"/>
          <w:szCs w:val="24"/>
          <w:shd w:val="clear" w:color="auto" w:fill="FFFFFF"/>
        </w:rPr>
        <w:t xml:space="preserve"> Монголын Хуул</w:t>
      </w:r>
      <w:r w:rsidR="00D45630">
        <w:rPr>
          <w:rFonts w:cs="Arial"/>
          <w:bCs/>
          <w:color w:val="000000"/>
          <w:szCs w:val="24"/>
          <w:shd w:val="clear" w:color="auto" w:fill="FFFFFF"/>
        </w:rPr>
        <w:t xml:space="preserve">ьчдын холбоог байгуулж, </w:t>
      </w:r>
      <w:r w:rsidR="00650615">
        <w:rPr>
          <w:rFonts w:cs="Arial"/>
          <w:bCs/>
          <w:color w:val="000000"/>
          <w:szCs w:val="24"/>
          <w:shd w:val="clear" w:color="auto" w:fill="FFFFFF"/>
        </w:rPr>
        <w:t xml:space="preserve">уг холбоонд </w:t>
      </w:r>
      <w:r w:rsidR="00DC69C5">
        <w:rPr>
          <w:rFonts w:cs="Arial"/>
          <w:bCs/>
          <w:color w:val="000000"/>
          <w:szCs w:val="24"/>
          <w:shd w:val="clear" w:color="auto" w:fill="FFFFFF"/>
        </w:rPr>
        <w:t>хуульчийн</w:t>
      </w:r>
      <w:r w:rsidR="005A55A5">
        <w:rPr>
          <w:rFonts w:cs="Arial"/>
          <w:bCs/>
          <w:color w:val="000000"/>
          <w:szCs w:val="24"/>
          <w:shd w:val="clear" w:color="auto" w:fill="FFFFFF"/>
        </w:rPr>
        <w:t xml:space="preserve"> мэргэжлийн үйл ажиллагаа эрхлэх зөвшөөрөл олгох</w:t>
      </w:r>
      <w:r w:rsidR="00DC69C5">
        <w:rPr>
          <w:rFonts w:cs="Arial"/>
          <w:bCs/>
          <w:color w:val="000000"/>
          <w:szCs w:val="24"/>
          <w:shd w:val="clear" w:color="auto" w:fill="FFFFFF"/>
        </w:rPr>
        <w:t xml:space="preserve">той холбоотой </w:t>
      </w:r>
      <w:r w:rsidR="005A55A5">
        <w:rPr>
          <w:rFonts w:cs="Arial"/>
          <w:bCs/>
          <w:color w:val="000000"/>
          <w:szCs w:val="24"/>
          <w:shd w:val="clear" w:color="auto" w:fill="FFFFFF"/>
        </w:rPr>
        <w:t xml:space="preserve">төрийн зарим чиг үүргийг шилжүүлэн </w:t>
      </w:r>
      <w:r w:rsidR="00D45630">
        <w:rPr>
          <w:rFonts w:cs="Arial"/>
          <w:bCs/>
          <w:color w:val="000000"/>
          <w:szCs w:val="24"/>
          <w:shd w:val="clear" w:color="auto" w:fill="FFFFFF"/>
        </w:rPr>
        <w:t>өгсөн</w:t>
      </w:r>
      <w:r w:rsidR="00A152DD">
        <w:rPr>
          <w:rFonts w:cs="Arial"/>
          <w:bCs/>
          <w:color w:val="000000"/>
          <w:szCs w:val="24"/>
          <w:shd w:val="clear" w:color="auto" w:fill="FFFFFF"/>
        </w:rPr>
        <w:t>.</w:t>
      </w:r>
    </w:p>
    <w:p w:rsidR="00A152DD" w:rsidRDefault="00A152DD" w:rsidP="0017695C">
      <w:pPr>
        <w:spacing w:after="0" w:line="240" w:lineRule="auto"/>
        <w:ind w:firstLine="720"/>
        <w:contextualSpacing/>
        <w:jc w:val="both"/>
        <w:rPr>
          <w:rFonts w:cs="Arial"/>
          <w:bCs/>
          <w:color w:val="000000"/>
          <w:szCs w:val="24"/>
          <w:shd w:val="clear" w:color="auto" w:fill="FFFFFF"/>
        </w:rPr>
      </w:pPr>
    </w:p>
    <w:p w:rsidR="00A152DD" w:rsidRPr="00DC69C5" w:rsidRDefault="00650615" w:rsidP="0017695C">
      <w:pPr>
        <w:spacing w:after="0" w:line="240" w:lineRule="auto"/>
        <w:ind w:firstLine="720"/>
        <w:contextualSpacing/>
        <w:jc w:val="both"/>
        <w:rPr>
          <w:rFonts w:cs="Arial"/>
          <w:bCs/>
          <w:color w:val="000000"/>
          <w:szCs w:val="24"/>
          <w:shd w:val="clear" w:color="auto" w:fill="FFFFFF"/>
        </w:rPr>
      </w:pPr>
      <w:r>
        <w:rPr>
          <w:rStyle w:val="Strong"/>
          <w:rFonts w:cs="Arial"/>
          <w:b w:val="0"/>
        </w:rPr>
        <w:t>Монголын Хуульчдын холбоо нь байгуулагдсан цагаасаа</w:t>
      </w:r>
      <w:r w:rsidR="00E705CE">
        <w:rPr>
          <w:rStyle w:val="Strong"/>
          <w:rFonts w:cs="Arial"/>
          <w:b w:val="0"/>
        </w:rPr>
        <w:t xml:space="preserve"> эхлэн</w:t>
      </w:r>
      <w:r>
        <w:rPr>
          <w:rStyle w:val="Strong"/>
          <w:rFonts w:cs="Arial"/>
          <w:b w:val="0"/>
        </w:rPr>
        <w:t xml:space="preserve"> </w:t>
      </w:r>
      <w:r w:rsidR="005A4DEB">
        <w:rPr>
          <w:rStyle w:val="Strong"/>
          <w:rFonts w:cs="Arial"/>
          <w:b w:val="0"/>
        </w:rPr>
        <w:t xml:space="preserve">төрөөс шилжүүлэн өгсөн </w:t>
      </w:r>
      <w:r>
        <w:rPr>
          <w:rStyle w:val="Strong"/>
          <w:rFonts w:cs="Arial"/>
          <w:b w:val="0"/>
        </w:rPr>
        <w:t>болон хуулиар хүлээн</w:t>
      </w:r>
      <w:r w:rsidR="005A4DEB">
        <w:rPr>
          <w:rStyle w:val="Strong"/>
          <w:rFonts w:cs="Arial"/>
          <w:b w:val="0"/>
        </w:rPr>
        <w:t xml:space="preserve"> чиг үүргээ амжилттай хэрэгжүүлж, </w:t>
      </w:r>
      <w:r>
        <w:rPr>
          <w:rStyle w:val="Strong"/>
          <w:rFonts w:cs="Arial"/>
          <w:b w:val="0"/>
        </w:rPr>
        <w:t>хуульч мэргэжлийн үйл ажиллагаа</w:t>
      </w:r>
      <w:r w:rsidR="005A4DEB">
        <w:rPr>
          <w:rStyle w:val="Strong"/>
          <w:rFonts w:cs="Arial"/>
          <w:b w:val="0"/>
        </w:rPr>
        <w:t>гаа</w:t>
      </w:r>
      <w:r>
        <w:rPr>
          <w:rStyle w:val="Strong"/>
          <w:rFonts w:cs="Arial"/>
          <w:b w:val="0"/>
        </w:rPr>
        <w:t xml:space="preserve"> төрөөс хараат</w:t>
      </w:r>
      <w:r w:rsidR="005A4DEB">
        <w:rPr>
          <w:rStyle w:val="Strong"/>
          <w:rFonts w:cs="Arial"/>
          <w:b w:val="0"/>
        </w:rPr>
        <w:t xml:space="preserve"> бусаар явагдах нөхцөлийг хангах</w:t>
      </w:r>
      <w:r>
        <w:rPr>
          <w:rStyle w:val="Strong"/>
          <w:rFonts w:cs="Arial"/>
          <w:b w:val="0"/>
        </w:rPr>
        <w:t>, шүүгч, прокурор, өмгөөлөгч, бусад хуульчдыг мэдлэг, чадвар дээшлүүлэх сургалта</w:t>
      </w:r>
      <w:r w:rsidR="00DC69C5">
        <w:rPr>
          <w:rStyle w:val="Strong"/>
          <w:rFonts w:cs="Arial"/>
          <w:b w:val="0"/>
        </w:rPr>
        <w:t>д тогтмол хамруулах</w:t>
      </w:r>
      <w:r>
        <w:rPr>
          <w:rStyle w:val="Strong"/>
          <w:rFonts w:cs="Arial"/>
          <w:b w:val="0"/>
        </w:rPr>
        <w:t>, хуульчдын мэргэжлийн сахилга, ёс зүйн асуудлыг шал</w:t>
      </w:r>
      <w:r w:rsidR="00E705CE">
        <w:rPr>
          <w:rStyle w:val="Strong"/>
          <w:rFonts w:cs="Arial"/>
          <w:b w:val="0"/>
        </w:rPr>
        <w:t>ган дүгнэх, хариуцлага хүлээлгэх</w:t>
      </w:r>
      <w:r>
        <w:rPr>
          <w:rStyle w:val="Strong"/>
          <w:rFonts w:cs="Arial"/>
          <w:b w:val="0"/>
        </w:rPr>
        <w:t xml:space="preserve"> ил тод, шударга, х</w:t>
      </w:r>
      <w:r w:rsidR="005A4DEB">
        <w:rPr>
          <w:rStyle w:val="Strong"/>
          <w:rFonts w:cs="Arial"/>
          <w:b w:val="0"/>
        </w:rPr>
        <w:t>яналттай тогтолцоо бий болго</w:t>
      </w:r>
      <w:r w:rsidR="00DC69C5">
        <w:rPr>
          <w:rStyle w:val="Strong"/>
          <w:rFonts w:cs="Arial"/>
          <w:b w:val="0"/>
        </w:rPr>
        <w:t>х талаар идэвхтэй ажиллан</w:t>
      </w:r>
      <w:r>
        <w:rPr>
          <w:rStyle w:val="Strong"/>
          <w:rFonts w:cs="Arial"/>
          <w:b w:val="0"/>
        </w:rPr>
        <w:t xml:space="preserve"> </w:t>
      </w:r>
      <w:r w:rsidR="00DC69C5">
        <w:rPr>
          <w:rStyle w:val="Strong"/>
          <w:rFonts w:cs="Arial"/>
          <w:b w:val="0"/>
        </w:rPr>
        <w:t xml:space="preserve">хуульчдын нийтлэг эрх ашгийг </w:t>
      </w:r>
      <w:r>
        <w:rPr>
          <w:rStyle w:val="Strong"/>
          <w:rFonts w:cs="Arial"/>
          <w:b w:val="0"/>
        </w:rPr>
        <w:t>дотоодод төдийгүй олон улс, бүс нутгийн х</w:t>
      </w:r>
      <w:r w:rsidR="00DC69C5">
        <w:rPr>
          <w:rStyle w:val="Strong"/>
          <w:rFonts w:cs="Arial"/>
          <w:b w:val="0"/>
        </w:rPr>
        <w:t>эмжээнд төлөөлөх чадвартай нийтийн эрх зүйн хуулийн этгээд болон төлөв</w:t>
      </w:r>
      <w:r w:rsidR="00EA6787">
        <w:rPr>
          <w:rStyle w:val="Strong"/>
          <w:rFonts w:cs="Arial"/>
          <w:b w:val="0"/>
        </w:rPr>
        <w:t>шсөн</w:t>
      </w:r>
      <w:r w:rsidR="00712724">
        <w:rPr>
          <w:rStyle w:val="Strong"/>
          <w:rFonts w:cs="Arial"/>
          <w:b w:val="0"/>
        </w:rPr>
        <w:t xml:space="preserve"> байна.</w:t>
      </w:r>
    </w:p>
    <w:p w:rsidR="00D45630" w:rsidRDefault="00D45630" w:rsidP="0017695C">
      <w:pPr>
        <w:spacing w:after="0" w:line="240" w:lineRule="auto"/>
        <w:ind w:firstLine="720"/>
        <w:contextualSpacing/>
        <w:jc w:val="both"/>
        <w:rPr>
          <w:rFonts w:cs="Arial"/>
          <w:bCs/>
          <w:color w:val="000000"/>
          <w:szCs w:val="24"/>
          <w:shd w:val="clear" w:color="auto" w:fill="FFFFFF"/>
        </w:rPr>
      </w:pPr>
    </w:p>
    <w:p w:rsidR="00712724" w:rsidRPr="00EA6787" w:rsidRDefault="005A55A5" w:rsidP="0017695C">
      <w:pPr>
        <w:spacing w:after="0" w:line="240" w:lineRule="auto"/>
        <w:ind w:firstLine="720"/>
        <w:contextualSpacing/>
        <w:jc w:val="both"/>
      </w:pPr>
      <w:r w:rsidRPr="005A55A5">
        <w:t xml:space="preserve">Хуульчийн эрх зүйн байдлын тухай хуулиар бий болсон </w:t>
      </w:r>
      <w:r w:rsidR="00712724">
        <w:t>дээрх</w:t>
      </w:r>
      <w:r w:rsidRPr="005A55A5">
        <w:t xml:space="preserve"> ол</w:t>
      </w:r>
      <w:r w:rsidR="00D45630">
        <w:t>олтыг ца</w:t>
      </w:r>
      <w:r w:rsidR="00DC69C5">
        <w:t>ашид хадгалж, ул</w:t>
      </w:r>
      <w:r w:rsidR="00712724">
        <w:t>ам боловсронгуй болгох,</w:t>
      </w:r>
      <w:r w:rsidR="00F168EA">
        <w:t xml:space="preserve"> хууль хэрэгжүүлэх явцад гарсан зарим хүндрэлтэй асуудал болон Өмгөөллийн тухай хууль батлагдсантай </w:t>
      </w:r>
      <w:r w:rsidR="00AB7DD4">
        <w:t>хуулийг шинэчлэн боловсруулах</w:t>
      </w:r>
      <w:r w:rsidR="00EA6787">
        <w:t xml:space="preserve"> доор дурдсан үндэслэл, шаардлага байна. </w:t>
      </w:r>
    </w:p>
    <w:p w:rsidR="00712724" w:rsidRDefault="00712724" w:rsidP="0017695C">
      <w:pPr>
        <w:spacing w:after="0" w:line="240" w:lineRule="auto"/>
        <w:ind w:firstLine="720"/>
        <w:contextualSpacing/>
        <w:jc w:val="both"/>
      </w:pPr>
    </w:p>
    <w:p w:rsidR="00712724" w:rsidRDefault="00712724" w:rsidP="0017695C">
      <w:pPr>
        <w:spacing w:after="0" w:line="240" w:lineRule="auto"/>
        <w:ind w:firstLine="720"/>
        <w:contextualSpacing/>
        <w:jc w:val="both"/>
      </w:pPr>
    </w:p>
    <w:p w:rsidR="00143983" w:rsidRDefault="00143983" w:rsidP="0017695C">
      <w:pPr>
        <w:spacing w:after="0" w:line="240" w:lineRule="auto"/>
        <w:ind w:firstLine="567"/>
        <w:contextualSpacing/>
        <w:jc w:val="both"/>
      </w:pPr>
    </w:p>
    <w:p w:rsidR="00143983" w:rsidRDefault="00143983" w:rsidP="0017695C">
      <w:pPr>
        <w:spacing w:after="0" w:line="240" w:lineRule="auto"/>
        <w:ind w:firstLine="567"/>
        <w:contextualSpacing/>
        <w:jc w:val="both"/>
      </w:pPr>
    </w:p>
    <w:p w:rsidR="00260004" w:rsidRDefault="00800F69" w:rsidP="0017695C">
      <w:pPr>
        <w:spacing w:after="0" w:line="240" w:lineRule="auto"/>
        <w:ind w:firstLine="720"/>
        <w:contextualSpacing/>
        <w:jc w:val="both"/>
      </w:pPr>
      <w:r>
        <w:t>Х</w:t>
      </w:r>
      <w:r w:rsidR="00143983">
        <w:t>уульд заасан “хуульчийн мэргэжлийн үйл ажил</w:t>
      </w:r>
      <w:r>
        <w:t>лагаа” гэх нэр томьёоны ойлголтыг</w:t>
      </w:r>
      <w:r w:rsidR="00143983">
        <w:t xml:space="preserve"> Үндсэн хуульд нийцээгүй үндэслэлээр хүчингүй болгосноор хуульчийн мэргэж</w:t>
      </w:r>
      <w:r w:rsidR="00260004">
        <w:t>лийн үйл ажиллагаанд ямар үйл ажиллагааг хамруулж үзэх нь</w:t>
      </w:r>
      <w:r w:rsidR="00143983">
        <w:t xml:space="preserve"> тодорхойгүй </w:t>
      </w:r>
      <w:r w:rsidR="00260004">
        <w:t>болсон</w:t>
      </w:r>
      <w:r w:rsidR="00143983">
        <w:t xml:space="preserve">, </w:t>
      </w:r>
      <w:r w:rsidR="00394AD8">
        <w:t xml:space="preserve">хуульчдын нийтлэг эрх, ашиг сонирхлыг хамгаалах арга  замыг тусгаагүй, </w:t>
      </w:r>
      <w:r>
        <w:t>Хуульчдын холбооны Зөвлөлийн гишүүдийг батламжлах эрх бүхий Их Хурал хуралдах хугацаа нь Зөвлөлийн гишүүдийн бүрэн эрхийн хугацаанаас зөрүүтэй,</w:t>
      </w:r>
      <w:r w:rsidR="000F44A6">
        <w:t xml:space="preserve"> </w:t>
      </w:r>
      <w:r w:rsidR="00CC7738">
        <w:t xml:space="preserve">Хуульчдын их хурлын төлөөлөгч болон </w:t>
      </w:r>
      <w:r w:rsidR="000F44A6">
        <w:t xml:space="preserve">Зөвлөлийн </w:t>
      </w:r>
      <w:r w:rsidR="009A401E">
        <w:t>бүрэл</w:t>
      </w:r>
      <w:r w:rsidR="00CC7738">
        <w:t>дэхүүний</w:t>
      </w:r>
      <w:r w:rsidR="009A401E">
        <w:t xml:space="preserve"> тоо нь холбооны үйл ажиллагааг хэвийн явуулах боломжгүйд хүргэх эрсдэлтэй, </w:t>
      </w:r>
      <w:r w:rsidR="00260004">
        <w:t>Хуульчдын холбооны Ерөнхийлөгчийн бүрэн эрхийн хугацаа дэвшүүлсэн зорилт, хөтөлбөрөө хэрэгжүүлэхэд хүрэлцэхгүй,</w:t>
      </w:r>
      <w:r w:rsidR="000F44A6">
        <w:t xml:space="preserve"> </w:t>
      </w:r>
      <w:r w:rsidR="00260004">
        <w:t>хуулийн тодорхой</w:t>
      </w:r>
      <w:r w:rsidR="00143983">
        <w:t xml:space="preserve"> бус зохицуулалтын улмаас хууль зүйн сургуулийг магадлан итгэмжлэх зохицуул</w:t>
      </w:r>
      <w:r w:rsidR="00260004">
        <w:t xml:space="preserve">алт өдийг хүртэл хэрэгжээгүй байна. </w:t>
      </w:r>
    </w:p>
    <w:p w:rsidR="009A17E6" w:rsidRDefault="009A17E6" w:rsidP="009A17E6">
      <w:pPr>
        <w:spacing w:after="0" w:line="240" w:lineRule="auto"/>
        <w:ind w:firstLine="720"/>
        <w:contextualSpacing/>
        <w:jc w:val="both"/>
      </w:pPr>
    </w:p>
    <w:p w:rsidR="009A17E6" w:rsidRPr="00F20310" w:rsidRDefault="00184BA3" w:rsidP="00C922F5">
      <w:pPr>
        <w:spacing w:after="0" w:line="240" w:lineRule="auto"/>
        <w:ind w:firstLine="720"/>
        <w:contextualSpacing/>
        <w:jc w:val="both"/>
      </w:pPr>
      <w:r>
        <w:t xml:space="preserve">Монгол Улсын Үндсэн хуульд оруулсан нэмэлт, өөрчлөлтөөр </w:t>
      </w:r>
      <w:r w:rsidR="00EA5469" w:rsidRPr="00EA5469">
        <w:t>шүүгчийг албан тушаалаас нь түдгэлзүүлэх, огцруулах болон сахилгын бусад шийтгэл ногдуулах чиг үүрэг бүхий Шүүхийн сахилгын хороо</w:t>
      </w:r>
      <w:r w:rsidR="009641F6">
        <w:t>г бий болгох</w:t>
      </w:r>
      <w:r w:rsidR="00EA5469">
        <w:t xml:space="preserve">, </w:t>
      </w:r>
      <w:r w:rsidR="009641F6">
        <w:t xml:space="preserve">Өмгөөллийн тухай хуулиар </w:t>
      </w:r>
      <w:r w:rsidR="00C922F5" w:rsidRPr="00C922F5">
        <w:t>өмгөөлөгч хууль болон Ёс зүйн дүрмийг зөрчсөн эсэх маргааныг хянан шийдвэрлэх, хариуцлага хүлээлгэх</w:t>
      </w:r>
      <w:r w:rsidR="00C922F5">
        <w:t xml:space="preserve"> чиг үүрэг бүхий Мэргэжлийн хариуцлагын хороо</w:t>
      </w:r>
      <w:r w:rsidR="009641F6">
        <w:t xml:space="preserve"> Монголын Өмгөөлөгчдийн холбоонд</w:t>
      </w:r>
      <w:r w:rsidR="00C922F5">
        <w:t xml:space="preserve"> байхаар </w:t>
      </w:r>
      <w:r w:rsidR="009641F6">
        <w:t xml:space="preserve">тус тус зохицуулсан. </w:t>
      </w:r>
      <w:r w:rsidR="00C922F5">
        <w:t>Прокурорын тухай</w:t>
      </w:r>
      <w:r w:rsidR="009641F6">
        <w:t xml:space="preserve"> хуульд зааснаар </w:t>
      </w:r>
      <w:r w:rsidR="00F168EA">
        <w:t>прокурорын</w:t>
      </w:r>
      <w:r w:rsidR="009641F6">
        <w:t xml:space="preserve"> </w:t>
      </w:r>
      <w:r w:rsidR="000229A5">
        <w:t xml:space="preserve">сахилга, ёс зүй, мэргэжлийн </w:t>
      </w:r>
      <w:r w:rsidR="00F168EA">
        <w:t>хариуцлагын асуудлаар Прокурорын ёс зүйн</w:t>
      </w:r>
      <w:r w:rsidR="000229A5">
        <w:t xml:space="preserve"> болон </w:t>
      </w:r>
      <w:r w:rsidR="009641F6">
        <w:t>мэргэжлийн орон тооны бус</w:t>
      </w:r>
      <w:r w:rsidR="00F168EA">
        <w:t xml:space="preserve"> зөвлөл үйл</w:t>
      </w:r>
      <w:r w:rsidR="009641F6">
        <w:t xml:space="preserve"> ажиллагаа явуулж байна. Хууль тогтоомжийн энэхүү өөрчлөлтийн улмаас </w:t>
      </w:r>
      <w:r w:rsidR="00F168EA">
        <w:t>Хуульчдын холбооны</w:t>
      </w:r>
      <w:r w:rsidR="009641F6">
        <w:t xml:space="preserve"> Мэргэжлийн хариуцлагын хорооны чиг үүрэг, үйл ажиллагааг тодотгон з</w:t>
      </w:r>
      <w:r w:rsidR="00294F15">
        <w:t>охицуулах шаардлага б</w:t>
      </w:r>
      <w:r w:rsidR="00F20310">
        <w:t>ий</w:t>
      </w:r>
      <w:r w:rsidR="003D046F">
        <w:t xml:space="preserve"> болсон</w:t>
      </w:r>
      <w:r w:rsidR="00F20310">
        <w:t xml:space="preserve"> бөгөөд </w:t>
      </w:r>
      <w:r w:rsidR="00D73853">
        <w:t xml:space="preserve">энэ талаар </w:t>
      </w:r>
      <w:r w:rsidR="00D73853" w:rsidRPr="00D73853">
        <w:t>Өмгөөллийн</w:t>
      </w:r>
      <w:r w:rsidR="00D73853">
        <w:t xml:space="preserve"> тухай хуулийг дагаж мөрдөх журмын тухай хуульд</w:t>
      </w:r>
      <w:r w:rsidR="00D73853" w:rsidRPr="00D73853">
        <w:t xml:space="preserve"> Монголын Хуульчдын холбоо болон Өмгөөлөгчдийн Холбооны үйл ажиллагааг уялдуулах, чиг үүргийг оновчтой хуваарилах</w:t>
      </w:r>
      <w:r w:rsidR="00D73853">
        <w:t xml:space="preserve"> талаар</w:t>
      </w:r>
      <w:r w:rsidR="00D73853" w:rsidRPr="00D73853">
        <w:t xml:space="preserve"> холбогдох хуули</w:t>
      </w:r>
      <w:r w:rsidR="00D73853">
        <w:t>йн төслийг боловсруулах</w:t>
      </w:r>
      <w:r w:rsidR="005B7AEC">
        <w:t>аар заажээ</w:t>
      </w:r>
      <w:r w:rsidR="00D73853">
        <w:t xml:space="preserve">. </w:t>
      </w:r>
    </w:p>
    <w:p w:rsidR="009A17E6" w:rsidRDefault="009A17E6" w:rsidP="00C922F5">
      <w:pPr>
        <w:spacing w:after="0" w:line="240" w:lineRule="auto"/>
        <w:ind w:firstLine="720"/>
        <w:contextualSpacing/>
        <w:jc w:val="both"/>
      </w:pPr>
    </w:p>
    <w:p w:rsidR="00AB7DD4" w:rsidRDefault="00AB7DD4" w:rsidP="00C922F5">
      <w:pPr>
        <w:spacing w:after="0" w:line="240" w:lineRule="auto"/>
        <w:ind w:firstLine="720"/>
        <w:contextualSpacing/>
        <w:jc w:val="both"/>
      </w:pPr>
      <w:r>
        <w:t xml:space="preserve">Монгол Улсын Их Хурлын 2020 оны 02 дугаар тогтоолын хавсралтаар баталсан </w:t>
      </w:r>
      <w:r w:rsidRPr="00AB7DD4">
        <w:t>Монгол Улсын Үндсэн хуульд оруулсан нэмэлт, өөрчлөлтөд хууль</w:t>
      </w:r>
      <w:r>
        <w:t xml:space="preserve"> тогтоомжийг нийцүүлэх хуваарьт Шүүхийн хараат бус байдлыг хангаж, шүүгчийн хариуцлагыг дээшлүүлэхтэй холбоотой Үндсэн хуульд оруулсан нэмэлт, өөрчлөлтийн хүрээнд Шүүхийн захиргааны тухай, Шүүхийн сахилгын хорооны тухай хуу</w:t>
      </w:r>
      <w:r w:rsidR="003E2994">
        <w:t>л</w:t>
      </w:r>
      <w:r>
        <w:t>ийн төслийг боловсруулж, тэдгээртэй холбогдуулан Хуульчийн эрх зүйн байдлын тухай хууль болон холбогдох бусад хуульд нэмэлт, өөрчлөлт оруулах тухай хуулийн төсөл боловсруулахаар заасан.</w:t>
      </w:r>
    </w:p>
    <w:p w:rsidR="002518D1" w:rsidRDefault="002518D1" w:rsidP="00C922F5">
      <w:pPr>
        <w:spacing w:after="0" w:line="240" w:lineRule="auto"/>
        <w:ind w:firstLine="720"/>
        <w:contextualSpacing/>
        <w:jc w:val="both"/>
      </w:pPr>
    </w:p>
    <w:p w:rsidR="009874B1" w:rsidRPr="00291EBC" w:rsidRDefault="001E6BC3" w:rsidP="008D00FF">
      <w:pPr>
        <w:tabs>
          <w:tab w:val="left" w:pos="6240"/>
          <w:tab w:val="left" w:pos="6528"/>
        </w:tabs>
        <w:spacing w:after="0" w:line="240" w:lineRule="auto"/>
        <w:ind w:firstLine="720"/>
        <w:contextualSpacing/>
        <w:jc w:val="both"/>
        <w:rPr>
          <w:highlight w:val="yellow"/>
        </w:rPr>
      </w:pPr>
      <w:r w:rsidRPr="00291EBC">
        <w:rPr>
          <w:highlight w:val="yellow"/>
        </w:rPr>
        <w:t>Монголын Хуульчдын Холбоо нь шүүгчийг хуульчдаас шилж олох чиг үүрэг бүхий Шүүхийн мэргэшлийн хорооны есөн гишүүнийг бүрдүүлэх</w:t>
      </w:r>
      <w:r w:rsidR="008D00FF" w:rsidRPr="00291EBC">
        <w:rPr>
          <w:highlight w:val="yellow"/>
          <w:lang w:val="en-US"/>
        </w:rPr>
        <w:t>;</w:t>
      </w:r>
      <w:r w:rsidRPr="00291EBC">
        <w:rPr>
          <w:highlight w:val="yellow"/>
        </w:rPr>
        <w:t xml:space="preserve"> Шүүхийн</w:t>
      </w:r>
      <w:r w:rsidR="008D00FF" w:rsidRPr="00291EBC">
        <w:rPr>
          <w:highlight w:val="yellow"/>
        </w:rPr>
        <w:t xml:space="preserve"> е</w:t>
      </w:r>
      <w:r w:rsidRPr="00291EBC">
        <w:rPr>
          <w:highlight w:val="yellow"/>
        </w:rPr>
        <w:t xml:space="preserve">рөнхий </w:t>
      </w:r>
      <w:r w:rsidR="008D00FF" w:rsidRPr="00291EBC">
        <w:rPr>
          <w:highlight w:val="yellow"/>
        </w:rPr>
        <w:t>з</w:t>
      </w:r>
      <w:r w:rsidRPr="00291EBC">
        <w:rPr>
          <w:highlight w:val="yellow"/>
        </w:rPr>
        <w:t>өвлөлийн гишүүнд нэр дэвшигчийг Монгол Улсын Ерөнхийлөгчид санал болгох</w:t>
      </w:r>
      <w:r w:rsidR="008D00FF" w:rsidRPr="00291EBC">
        <w:rPr>
          <w:highlight w:val="yellow"/>
          <w:lang w:val="en-US"/>
        </w:rPr>
        <w:t>;</w:t>
      </w:r>
      <w:r w:rsidRPr="00291EBC">
        <w:rPr>
          <w:highlight w:val="yellow"/>
        </w:rPr>
        <w:t xml:space="preserve"> Шүүхийн ёс зүйн хорооны  гишүүнийг Монгол Улсын Ерөнхийлөгчид санал болгох</w:t>
      </w:r>
      <w:r w:rsidR="008D00FF" w:rsidRPr="00291EBC">
        <w:rPr>
          <w:highlight w:val="yellow"/>
          <w:lang w:val="en-US"/>
        </w:rPr>
        <w:t>;</w:t>
      </w:r>
      <w:r w:rsidR="009874B1" w:rsidRPr="00291EBC">
        <w:rPr>
          <w:highlight w:val="yellow"/>
        </w:rPr>
        <w:t xml:space="preserve"> </w:t>
      </w:r>
      <w:r w:rsidR="008D00FF" w:rsidRPr="00291EBC">
        <w:rPr>
          <w:highlight w:val="yellow"/>
        </w:rPr>
        <w:t>шүүгчид нэр дэвшигчийн мэргэшил, ур чадвар, нэр хүндийн талаар дүгнэлт гаргаж Шүүхийн ерөнхий зөвлөлд хүргүүлэх зэрэг үйл ажиллагаа явуулж буй нь шүүхийн бие даасан, шүүгчийн хараат бус байдлыг хангахад хуульчдын мэргэжлийн өөрөө удирдах ёсны байгууллагын оролцоог хангаж, шүүхийн багц хуулийг холбогдох инстит</w:t>
      </w:r>
      <w:r w:rsidR="00291EBC">
        <w:rPr>
          <w:highlight w:val="yellow"/>
        </w:rPr>
        <w:t>у</w:t>
      </w:r>
      <w:r w:rsidR="008D00FF" w:rsidRPr="00291EBC">
        <w:rPr>
          <w:highlight w:val="yellow"/>
        </w:rPr>
        <w:t xml:space="preserve">цийн хамтын ажиллагааны үндсэн дээр хэрэгжүүлж буй ач холбогдолтой. Энэхүү ололт, дэвшилттэй зохицуулалтыг хэвээр хадгалж, боловсронгуй болгохоор Хуульчийн эрх зүйн байдлын тухай хууль, шүүхийн </w:t>
      </w:r>
      <w:r w:rsidR="00291EBC">
        <w:rPr>
          <w:highlight w:val="yellow"/>
        </w:rPr>
        <w:t xml:space="preserve">бусад </w:t>
      </w:r>
      <w:r w:rsidR="008D00FF" w:rsidRPr="00291EBC">
        <w:rPr>
          <w:highlight w:val="yellow"/>
        </w:rPr>
        <w:t xml:space="preserve">хууль тогтоомжийн </w:t>
      </w:r>
      <w:r w:rsidR="00291EBC">
        <w:rPr>
          <w:highlight w:val="yellow"/>
        </w:rPr>
        <w:t>төслийг</w:t>
      </w:r>
      <w:r w:rsidR="00262F69">
        <w:rPr>
          <w:highlight w:val="yellow"/>
        </w:rPr>
        <w:t xml:space="preserve"> боловсруулах шаардлагтай</w:t>
      </w:r>
      <w:r w:rsidR="008D00FF" w:rsidRPr="00291EBC">
        <w:rPr>
          <w:highlight w:val="yellow"/>
        </w:rPr>
        <w:t xml:space="preserve">. </w:t>
      </w:r>
    </w:p>
    <w:p w:rsidR="00262F69" w:rsidRDefault="00262F69" w:rsidP="008D00FF">
      <w:pPr>
        <w:tabs>
          <w:tab w:val="left" w:pos="6240"/>
          <w:tab w:val="left" w:pos="6528"/>
        </w:tabs>
        <w:spacing w:after="0" w:line="240" w:lineRule="auto"/>
        <w:ind w:firstLine="720"/>
        <w:contextualSpacing/>
        <w:jc w:val="both"/>
        <w:rPr>
          <w:rFonts w:cs="Arial"/>
          <w:szCs w:val="20"/>
          <w:highlight w:val="yellow"/>
        </w:rPr>
      </w:pPr>
      <w:r>
        <w:rPr>
          <w:rFonts w:cs="Arial"/>
          <w:szCs w:val="20"/>
          <w:highlight w:val="yellow"/>
        </w:rPr>
        <w:lastRenderedPageBreak/>
        <w:t>Х</w:t>
      </w:r>
      <w:r w:rsidR="004409BD" w:rsidRPr="00291EBC">
        <w:rPr>
          <w:rFonts w:cs="Arial"/>
          <w:szCs w:val="20"/>
          <w:highlight w:val="yellow"/>
        </w:rPr>
        <w:t>уульч</w:t>
      </w:r>
      <w:r>
        <w:rPr>
          <w:rFonts w:cs="Arial"/>
          <w:szCs w:val="20"/>
          <w:highlight w:val="yellow"/>
        </w:rPr>
        <w:t>ид</w:t>
      </w:r>
      <w:r w:rsidR="004409BD" w:rsidRPr="00291EBC">
        <w:rPr>
          <w:rFonts w:cs="Arial"/>
          <w:szCs w:val="20"/>
          <w:highlight w:val="yellow"/>
        </w:rPr>
        <w:t xml:space="preserve"> Мөнгө угаах болон терроризмыг санхүүжүүлэхтэй тэмцэх тухай хуулийн 7 дугаарт зүйлд заасан мэдээллийг Монголбанкны Санхүүгийн мэдээллийн албанд </w:t>
      </w:r>
      <w:r w:rsidR="007F0727" w:rsidRPr="00291EBC">
        <w:rPr>
          <w:rFonts w:cs="Arial"/>
          <w:szCs w:val="20"/>
          <w:highlight w:val="yellow"/>
        </w:rPr>
        <w:t xml:space="preserve">тухайн хуулийн 4.1.9 дүгээр зүйлийн дагуу </w:t>
      </w:r>
      <w:r>
        <w:rPr>
          <w:rFonts w:cs="Arial"/>
          <w:szCs w:val="20"/>
          <w:highlight w:val="yellow"/>
        </w:rPr>
        <w:t xml:space="preserve">мэдээлэх үүрэг хүлээсэн. </w:t>
      </w:r>
    </w:p>
    <w:p w:rsidR="00E8479C" w:rsidRDefault="00262F69" w:rsidP="008D00FF">
      <w:pPr>
        <w:tabs>
          <w:tab w:val="left" w:pos="6240"/>
          <w:tab w:val="left" w:pos="6528"/>
        </w:tabs>
        <w:spacing w:after="0" w:line="240" w:lineRule="auto"/>
        <w:ind w:firstLine="720"/>
        <w:contextualSpacing/>
        <w:jc w:val="both"/>
      </w:pPr>
      <w:r>
        <w:rPr>
          <w:rFonts w:cs="Arial"/>
          <w:szCs w:val="20"/>
          <w:highlight w:val="yellow"/>
        </w:rPr>
        <w:t>Ийнхүү үүргийн хэрэгжилтэд</w:t>
      </w:r>
      <w:r w:rsidR="007F0727" w:rsidRPr="00291EBC">
        <w:rPr>
          <w:rFonts w:cs="Arial"/>
          <w:szCs w:val="20"/>
          <w:highlight w:val="yellow"/>
        </w:rPr>
        <w:t xml:space="preserve"> Хуульчдын холбоо хяналт тавих, хэрэгжилтийг хангуулах чиг үүрэгтэй байхаар хуулийн т</w:t>
      </w:r>
      <w:r>
        <w:rPr>
          <w:rFonts w:cs="Arial"/>
          <w:szCs w:val="20"/>
          <w:highlight w:val="yellow"/>
        </w:rPr>
        <w:t>өсөлд тусгана</w:t>
      </w:r>
      <w:r w:rsidR="007F0727" w:rsidRPr="00291EBC">
        <w:rPr>
          <w:rFonts w:cs="Arial"/>
          <w:szCs w:val="20"/>
          <w:highlight w:val="yellow"/>
        </w:rPr>
        <w:t>.</w:t>
      </w:r>
    </w:p>
    <w:p w:rsidR="001E6BC3" w:rsidRDefault="001E6BC3" w:rsidP="001E6BC3">
      <w:pPr>
        <w:tabs>
          <w:tab w:val="left" w:pos="6528"/>
        </w:tabs>
        <w:spacing w:after="0" w:line="240" w:lineRule="auto"/>
        <w:ind w:firstLine="720"/>
        <w:contextualSpacing/>
        <w:jc w:val="both"/>
      </w:pPr>
    </w:p>
    <w:p w:rsidR="00AB7DD4" w:rsidRDefault="00AB7DD4" w:rsidP="00C922F5">
      <w:pPr>
        <w:spacing w:after="0" w:line="240" w:lineRule="auto"/>
        <w:ind w:firstLine="720"/>
        <w:contextualSpacing/>
        <w:jc w:val="both"/>
      </w:pPr>
      <w:r>
        <w:t xml:space="preserve">Дээрх хуваарийн дагуу </w:t>
      </w:r>
      <w:r w:rsidR="00647CD6">
        <w:t xml:space="preserve">боловсруулж байгаа </w:t>
      </w:r>
      <w:r>
        <w:t xml:space="preserve">Монгол Улсын Шүүхийн тухай болон Шүүгчийн эрх зүйн байдал, сахилга хариуцлагын тухай </w:t>
      </w:r>
      <w:r w:rsidR="00647CD6">
        <w:t>хуулийн төсөлтэй Хуульчийн эрх зүйн байдлын тухай хуулийн зарим зохицуулалтыг уялдуулах зайлшгүй шаардлага үүссэн.</w:t>
      </w:r>
    </w:p>
    <w:p w:rsidR="00647CD6" w:rsidRDefault="00647CD6" w:rsidP="0017695C">
      <w:pPr>
        <w:spacing w:after="0" w:line="240" w:lineRule="auto"/>
        <w:ind w:firstLine="720"/>
        <w:contextualSpacing/>
        <w:jc w:val="both"/>
      </w:pPr>
    </w:p>
    <w:p w:rsidR="00D83563" w:rsidRPr="00D83563" w:rsidRDefault="00D73853" w:rsidP="0017695C">
      <w:pPr>
        <w:spacing w:after="0" w:line="240" w:lineRule="auto"/>
        <w:ind w:firstLine="720"/>
        <w:contextualSpacing/>
        <w:jc w:val="both"/>
      </w:pPr>
      <w:r>
        <w:t>Мөн</w:t>
      </w:r>
      <w:r w:rsidR="00143983">
        <w:t xml:space="preserve"> Хуульчийн эрх зүйн байдлын тухай хуулийн хэрэгжилтийн үр дагаварт хийсэн үнэлгээгээр </w:t>
      </w:r>
      <w:r w:rsidR="00D83563">
        <w:t>хуулийн зарим зохицуулалтыг Төлбөрийн чад</w:t>
      </w:r>
      <w:r w:rsidR="009A401E">
        <w:t>варгүй яллагда</w:t>
      </w:r>
      <w:r w:rsidR="00555C3C">
        <w:t>г</w:t>
      </w:r>
      <w:r w:rsidR="009A401E">
        <w:t>чид үзүүлэх хууль</w:t>
      </w:r>
      <w:r w:rsidR="00D83563">
        <w:t xml:space="preserve"> зүйн туслалцааны тухай хуультай уялдуулах, </w:t>
      </w:r>
      <w:r w:rsidR="000F44A6">
        <w:t>ху</w:t>
      </w:r>
      <w:r w:rsidR="00555C3C">
        <w:t>улийн үйлчлэлд хамаарах субъектий</w:t>
      </w:r>
      <w:r w:rsidR="000F44A6">
        <w:t>г тодорхой болгох, Хуульчдын холбооны зөвлөлийн ч</w:t>
      </w:r>
      <w:r w:rsidR="009A401E">
        <w:t xml:space="preserve">иг үүргийг оновчтой тодорхойлох шаардлагатай гэж дүгнэсэн. </w:t>
      </w:r>
    </w:p>
    <w:p w:rsidR="00D83563" w:rsidRDefault="00D83563" w:rsidP="0017695C">
      <w:pPr>
        <w:spacing w:after="0" w:line="240" w:lineRule="auto"/>
        <w:ind w:firstLine="720"/>
        <w:contextualSpacing/>
        <w:jc w:val="both"/>
      </w:pPr>
    </w:p>
    <w:p w:rsidR="00BA0BFF" w:rsidRPr="00F16361" w:rsidRDefault="00BA0BFF" w:rsidP="008208A1">
      <w:pPr>
        <w:spacing w:after="0" w:line="240" w:lineRule="auto"/>
        <w:ind w:firstLine="720"/>
        <w:jc w:val="both"/>
        <w:rPr>
          <w:rFonts w:cs="Arial"/>
          <w:b/>
          <w:bCs/>
          <w:color w:val="000000"/>
          <w:szCs w:val="24"/>
          <w:shd w:val="clear" w:color="auto" w:fill="FFFFFF"/>
        </w:rPr>
      </w:pPr>
      <w:r w:rsidRPr="00F16361">
        <w:rPr>
          <w:rFonts w:cs="Arial"/>
          <w:b/>
          <w:bCs/>
          <w:color w:val="000000"/>
          <w:szCs w:val="24"/>
          <w:shd w:val="clear" w:color="auto" w:fill="FFFFFF"/>
        </w:rPr>
        <w:t>Хоёр.</w:t>
      </w:r>
      <w:r>
        <w:rPr>
          <w:rFonts w:cs="Arial"/>
          <w:b/>
          <w:bCs/>
          <w:color w:val="000000"/>
          <w:szCs w:val="24"/>
          <w:shd w:val="clear" w:color="auto" w:fill="FFFFFF"/>
        </w:rPr>
        <w:t>Хуулийн зорилго</w:t>
      </w:r>
      <w:r w:rsidRPr="00F16361">
        <w:rPr>
          <w:rFonts w:cs="Arial"/>
          <w:b/>
          <w:bCs/>
          <w:color w:val="000000"/>
          <w:szCs w:val="24"/>
          <w:shd w:val="clear" w:color="auto" w:fill="FFFFFF"/>
        </w:rPr>
        <w:t xml:space="preserve">, </w:t>
      </w:r>
      <w:r>
        <w:rPr>
          <w:rFonts w:cs="Arial"/>
          <w:b/>
          <w:bCs/>
          <w:color w:val="000000"/>
          <w:szCs w:val="24"/>
          <w:shd w:val="clear" w:color="auto" w:fill="FFFFFF"/>
        </w:rPr>
        <w:t>ерөнхий бүтэц</w:t>
      </w:r>
      <w:r w:rsidRPr="00F16361">
        <w:rPr>
          <w:rFonts w:cs="Arial"/>
          <w:b/>
          <w:bCs/>
          <w:color w:val="000000"/>
          <w:szCs w:val="24"/>
          <w:shd w:val="clear" w:color="auto" w:fill="FFFFFF"/>
        </w:rPr>
        <w:t xml:space="preserve">, </w:t>
      </w:r>
      <w:r>
        <w:rPr>
          <w:rFonts w:cs="Arial"/>
          <w:b/>
          <w:bCs/>
          <w:color w:val="000000"/>
          <w:szCs w:val="24"/>
          <w:shd w:val="clear" w:color="auto" w:fill="FFFFFF"/>
        </w:rPr>
        <w:t>зохицуулах харилцаа</w:t>
      </w:r>
    </w:p>
    <w:p w:rsidR="008208A1" w:rsidRDefault="008208A1" w:rsidP="00D027C7">
      <w:pPr>
        <w:spacing w:after="0" w:line="240" w:lineRule="auto"/>
        <w:ind w:firstLine="720"/>
        <w:contextualSpacing/>
        <w:jc w:val="both"/>
      </w:pPr>
    </w:p>
    <w:p w:rsidR="001034C2" w:rsidRDefault="00887CCC" w:rsidP="00D027C7">
      <w:pPr>
        <w:spacing w:after="0" w:line="240" w:lineRule="auto"/>
        <w:ind w:firstLine="720"/>
        <w:contextualSpacing/>
        <w:jc w:val="both"/>
      </w:pPr>
      <w:r>
        <w:t xml:space="preserve">Хуулийн төслийг </w:t>
      </w:r>
      <w:r w:rsidR="00740595">
        <w:t>Хууль тогтоомжийн тухай хуулийн 22 дугаар зүйлийн 22.1.</w:t>
      </w:r>
      <w:r w:rsidR="008208A1">
        <w:t>3</w:t>
      </w:r>
      <w:r w:rsidR="00740595">
        <w:t xml:space="preserve"> дахь заалтын дагуу </w:t>
      </w:r>
      <w:r w:rsidR="00740595" w:rsidRPr="00740595">
        <w:t>хуульд</w:t>
      </w:r>
      <w:r w:rsidR="00740595">
        <w:t xml:space="preserve"> </w:t>
      </w:r>
      <w:r w:rsidR="008208A1">
        <w:t>хуулийн шинэчилсэн найруулгын</w:t>
      </w:r>
      <w:r w:rsidR="001034C2">
        <w:t xml:space="preserve"> хэлбэрээр боловсруулах бөгөөд</w:t>
      </w:r>
      <w:r w:rsidR="00EA04FC">
        <w:t xml:space="preserve"> төсөлд</w:t>
      </w:r>
      <w:r w:rsidR="001034C2">
        <w:t xml:space="preserve"> </w:t>
      </w:r>
      <w:r w:rsidR="008208A1">
        <w:t xml:space="preserve">дараах шинэлэг зохицуулалтыг </w:t>
      </w:r>
      <w:r w:rsidR="001034C2">
        <w:t>тусгана:</w:t>
      </w:r>
    </w:p>
    <w:p w:rsidR="001034C2" w:rsidRDefault="001034C2" w:rsidP="0017695C">
      <w:pPr>
        <w:spacing w:after="0" w:line="240" w:lineRule="auto"/>
        <w:ind w:firstLine="567"/>
        <w:contextualSpacing/>
        <w:jc w:val="both"/>
      </w:pPr>
    </w:p>
    <w:p w:rsidR="00D51B97" w:rsidRDefault="001034C2" w:rsidP="00D027C7">
      <w:pPr>
        <w:spacing w:after="0" w:line="240" w:lineRule="auto"/>
        <w:ind w:firstLine="720"/>
        <w:contextualSpacing/>
        <w:jc w:val="both"/>
      </w:pPr>
      <w:r>
        <w:t>1.“Х</w:t>
      </w:r>
      <w:r w:rsidR="000C4C38">
        <w:t>уу</w:t>
      </w:r>
      <w:r>
        <w:t>льчийн мэргэжлийн үйл ажиллагаа” гэх ойлголтыг</w:t>
      </w:r>
      <w:r w:rsidR="00FF0995">
        <w:t xml:space="preserve"> Монгол Ул</w:t>
      </w:r>
      <w:r w:rsidR="00423F09">
        <w:t>сын Үндсэн хуульд нийцүүлэн томь</w:t>
      </w:r>
      <w:r w:rsidR="00FF0995">
        <w:t xml:space="preserve">ёолж, хуулийн үйлчлэх </w:t>
      </w:r>
      <w:r w:rsidR="00F565BF">
        <w:t>хүрээг тодорхой болгон</w:t>
      </w:r>
      <w:r w:rsidR="009A6149">
        <w:t xml:space="preserve"> хуульчийн мэргэжлийн үйл ажиллагаанд баримтлах зарчмыг шинэчилнэ</w:t>
      </w:r>
      <w:r>
        <w:t>;</w:t>
      </w:r>
    </w:p>
    <w:p w:rsidR="00647CD6" w:rsidRDefault="00647CD6" w:rsidP="00D027C7">
      <w:pPr>
        <w:spacing w:after="0" w:line="240" w:lineRule="auto"/>
        <w:ind w:firstLine="720"/>
        <w:contextualSpacing/>
        <w:jc w:val="both"/>
      </w:pPr>
    </w:p>
    <w:p w:rsidR="00647CD6" w:rsidRPr="00647CD6" w:rsidRDefault="003E2994" w:rsidP="00D027C7">
      <w:pPr>
        <w:spacing w:after="0" w:line="240" w:lineRule="auto"/>
        <w:ind w:firstLine="720"/>
        <w:contextualSpacing/>
        <w:jc w:val="both"/>
      </w:pPr>
      <w:r>
        <w:t>2.Хуульчийн мэргэжлийн шалгалта</w:t>
      </w:r>
      <w:r w:rsidR="00647CD6">
        <w:t>д тэнцэж гэрчилгээ авсан иргэнийг Төрийн албаны тухай хуульд заасан төрийн жинхэнэ албаны ерөнхий ш</w:t>
      </w:r>
      <w:r>
        <w:t>алгалта</w:t>
      </w:r>
      <w:r w:rsidR="009F558D">
        <w:t>д тэнцсэнд тооцдог болж, мэргэшсэн хуульчид ажил олгогчийн шийдвэрээр үндсэн цалингийн 10 хувьтай тэнцэх хэмжээний нэмэгдлийг сар бүр олгодог болно</w:t>
      </w:r>
      <w:r w:rsidR="00647CD6">
        <w:t>;</w:t>
      </w:r>
    </w:p>
    <w:p w:rsidR="001034C2" w:rsidRDefault="001034C2" w:rsidP="0017695C">
      <w:pPr>
        <w:spacing w:after="0" w:line="240" w:lineRule="auto"/>
        <w:ind w:firstLine="567"/>
        <w:contextualSpacing/>
        <w:jc w:val="both"/>
      </w:pPr>
    </w:p>
    <w:p w:rsidR="0064134C" w:rsidRPr="00394AD8" w:rsidRDefault="00647CD6" w:rsidP="00D027C7">
      <w:pPr>
        <w:spacing w:after="0" w:line="240" w:lineRule="auto"/>
        <w:ind w:firstLine="720"/>
        <w:contextualSpacing/>
        <w:jc w:val="both"/>
      </w:pPr>
      <w:r>
        <w:t>3</w:t>
      </w:r>
      <w:r w:rsidR="00394AD8">
        <w:t>.Хуульчдын нийтлэг эрх, ашиг сонирхлыг хамгаалах, хараат бусаар үйл ажиллагаа явуулах нөхцөлийг хангах зорилгоор х</w:t>
      </w:r>
      <w:r w:rsidR="001F1FEB">
        <w:t>уульчийн мэргэжлийн үйл ажиллагаан</w:t>
      </w:r>
      <w:r w:rsidR="00925242">
        <w:t>д баримтлах нийтлэг эрхийг хуульчилж</w:t>
      </w:r>
      <w:r w:rsidR="0064134C">
        <w:t xml:space="preserve">, </w:t>
      </w:r>
      <w:r w:rsidR="00925242">
        <w:t>тэдний</w:t>
      </w:r>
      <w:r w:rsidR="0064134C" w:rsidRPr="0064134C">
        <w:rPr>
          <w:rFonts w:cs="Arial"/>
          <w:szCs w:val="24"/>
        </w:rPr>
        <w:t xml:space="preserve"> нийтлэг ашиг сонирхлыг </w:t>
      </w:r>
      <w:r w:rsidR="00F565BF">
        <w:rPr>
          <w:rFonts w:cs="Arial"/>
          <w:szCs w:val="24"/>
        </w:rPr>
        <w:t>хамгаалах</w:t>
      </w:r>
      <w:r w:rsidR="0064134C" w:rsidRPr="0064134C">
        <w:rPr>
          <w:rFonts w:cs="Arial"/>
          <w:szCs w:val="24"/>
        </w:rPr>
        <w:t>, хууль ёсны эрх ашиг, мэргэжлийн нэр хүнд, шударга байдлыг хамгаалах</w:t>
      </w:r>
      <w:r w:rsidR="0064134C">
        <w:t xml:space="preserve"> </w:t>
      </w:r>
      <w:r w:rsidR="00DD1D8C">
        <w:t xml:space="preserve">чиглэлээр </w:t>
      </w:r>
      <w:r w:rsidR="0064134C">
        <w:t>хуул</w:t>
      </w:r>
      <w:r w:rsidR="00394AD8">
        <w:t>ьчдын холбоон</w:t>
      </w:r>
      <w:r w:rsidR="00925242">
        <w:t>ы</w:t>
      </w:r>
      <w:r w:rsidR="00DD1D8C">
        <w:t xml:space="preserve"> чиг үүргийг нэмэгдүүлнэ</w:t>
      </w:r>
      <w:r w:rsidR="00394AD8">
        <w:t>;</w:t>
      </w:r>
    </w:p>
    <w:p w:rsidR="0064134C" w:rsidRDefault="0064134C" w:rsidP="0017695C">
      <w:pPr>
        <w:spacing w:after="0" w:line="240" w:lineRule="auto"/>
        <w:ind w:firstLine="567"/>
        <w:contextualSpacing/>
        <w:jc w:val="both"/>
      </w:pPr>
    </w:p>
    <w:p w:rsidR="001034C2" w:rsidRDefault="00647CD6" w:rsidP="00D027C7">
      <w:pPr>
        <w:spacing w:after="0" w:line="240" w:lineRule="auto"/>
        <w:ind w:firstLine="720"/>
        <w:contextualSpacing/>
        <w:jc w:val="both"/>
      </w:pPr>
      <w:r>
        <w:t>4</w:t>
      </w:r>
      <w:r w:rsidR="0064134C">
        <w:t>.</w:t>
      </w:r>
      <w:r w:rsidR="003F2498">
        <w:t>Хуульчд</w:t>
      </w:r>
      <w:r w:rsidR="00CC7738">
        <w:t xml:space="preserve">ын их хурлын ээлжит хуралдаан хуралдах хугацаа болон Хуульчдын холбооны Ерөнхийлөгчийн бүрэн эрхийн хугацааг холбооны Зөвлөлийн бүрэн эрхийн хугацаатай </w:t>
      </w:r>
      <w:r w:rsidR="00881956">
        <w:t>уялдуулан тогтоож</w:t>
      </w:r>
      <w:r w:rsidR="00DD1D8C">
        <w:t>, Хуульчдын их хурал, Хуульчдын холбооны зөвлөлд</w:t>
      </w:r>
      <w:r w:rsidR="00CC7738">
        <w:t xml:space="preserve"> шүүгч, прокурор, өмгөөлөгч, нотариатч, бусад хуульчи</w:t>
      </w:r>
      <w:r w:rsidR="00DD1D8C">
        <w:t>д тэнцүү тооны төлөөлөлтэй байх, Хуульчдын холбооны зөвлөлийн чиг үүргийг оновчтой болгоно</w:t>
      </w:r>
      <w:r w:rsidR="00881956">
        <w:t>;</w:t>
      </w:r>
    </w:p>
    <w:p w:rsidR="00647CD6" w:rsidRDefault="00647CD6" w:rsidP="00D027C7">
      <w:pPr>
        <w:spacing w:after="0" w:line="240" w:lineRule="auto"/>
        <w:ind w:firstLine="720"/>
        <w:contextualSpacing/>
        <w:jc w:val="both"/>
      </w:pPr>
    </w:p>
    <w:p w:rsidR="00647CD6" w:rsidRPr="00647CD6" w:rsidRDefault="00647CD6" w:rsidP="00D027C7">
      <w:pPr>
        <w:spacing w:after="0" w:line="240" w:lineRule="auto"/>
        <w:ind w:firstLine="720"/>
        <w:contextualSpacing/>
        <w:jc w:val="both"/>
      </w:pPr>
      <w:r>
        <w:t>5.Монгол Улсын шүүхийн тухай, Шүүгчийн эрх зүйн байдал, сахилга, хариуцлагын тухай  хуулийн төсөлтэй уялдуулах зорилгоор Шүүхийн ерөнхий зөвлөл, Шүүхийн сахилгын хороо, Шүүхийн мэргэшлийн хорооны гишүүнд  Хуульчдын холбооноос нэр дэвшүүлэх журмыг заана;</w:t>
      </w:r>
    </w:p>
    <w:p w:rsidR="00881956" w:rsidRDefault="00881956" w:rsidP="0017695C">
      <w:pPr>
        <w:spacing w:after="0" w:line="240" w:lineRule="auto"/>
        <w:ind w:firstLine="567"/>
        <w:contextualSpacing/>
        <w:jc w:val="both"/>
      </w:pPr>
    </w:p>
    <w:p w:rsidR="00881956" w:rsidRDefault="00647CD6" w:rsidP="00D027C7">
      <w:pPr>
        <w:spacing w:after="0" w:line="240" w:lineRule="auto"/>
        <w:ind w:firstLine="720"/>
        <w:contextualSpacing/>
        <w:jc w:val="both"/>
      </w:pPr>
      <w:r>
        <w:t>6</w:t>
      </w:r>
      <w:r w:rsidR="00881956">
        <w:t>.</w:t>
      </w:r>
      <w:r w:rsidR="00E24E81">
        <w:t>Хууль зүйн сургуулийг магадлан итгэмжлэх зохицуулал</w:t>
      </w:r>
      <w:r w:rsidR="002D264B">
        <w:t>тыг сургалтын</w:t>
      </w:r>
      <w:r w:rsidR="00423F09">
        <w:t xml:space="preserve"> хөтөлбөрийн магадлан итгэмж</w:t>
      </w:r>
      <w:r w:rsidR="00E24E81">
        <w:t>лэл</w:t>
      </w:r>
      <w:r w:rsidR="002D264B">
        <w:t xml:space="preserve"> болгон өөрчил</w:t>
      </w:r>
      <w:r w:rsidR="00DD1D8C">
        <w:t>нө</w:t>
      </w:r>
      <w:r w:rsidR="00E24E81">
        <w:t xml:space="preserve">; </w:t>
      </w:r>
    </w:p>
    <w:p w:rsidR="00E24E81" w:rsidRDefault="00E24E81" w:rsidP="0017695C">
      <w:pPr>
        <w:spacing w:after="0" w:line="240" w:lineRule="auto"/>
        <w:ind w:firstLine="567"/>
        <w:contextualSpacing/>
        <w:jc w:val="both"/>
      </w:pPr>
    </w:p>
    <w:p w:rsidR="00EF110A" w:rsidRPr="009F558D" w:rsidRDefault="009F558D" w:rsidP="009F558D">
      <w:pPr>
        <w:spacing w:after="0" w:line="240" w:lineRule="auto"/>
        <w:ind w:firstLine="720"/>
        <w:contextualSpacing/>
        <w:jc w:val="both"/>
      </w:pPr>
      <w:r>
        <w:t>7</w:t>
      </w:r>
      <w:r w:rsidR="00E24E81">
        <w:t>.</w:t>
      </w:r>
      <w:r w:rsidR="00EE65AD">
        <w:t>Мэргэжлийн хариуцлагын хорооны чиг үүргийг бусад хуульч</w:t>
      </w:r>
      <w:r w:rsidR="00AB7DD4">
        <w:t xml:space="preserve"> болон </w:t>
      </w:r>
      <w:r w:rsidR="00AB7DD4" w:rsidRPr="00AB7DD4">
        <w:t>хууль зүйн асуудлаар амаар болон бичгээр лавлагаа, зөвлөгөө өгөх, зөвлөмж, дүгнэлт гаргах;</w:t>
      </w:r>
      <w:r>
        <w:t xml:space="preserve"> </w:t>
      </w:r>
      <w:r w:rsidR="00AB7DD4" w:rsidRPr="00AB7DD4">
        <w:t>хууль зүйн ач холбогдол</w:t>
      </w:r>
      <w:r>
        <w:t xml:space="preserve"> бүхий баримт бичгийн эх зохиох чиглэлээр үйл ажиллагаа явуулж байгаа </w:t>
      </w:r>
      <w:r w:rsidR="00EE455D">
        <w:t>хуульч үйлчлүүлэгч хооронд үүссэн маргааныг хянан шийдвэрлэдэг байхаар өөрчилнө</w:t>
      </w:r>
      <w:r w:rsidR="00EF110A">
        <w:t>;</w:t>
      </w:r>
    </w:p>
    <w:p w:rsidR="00EF110A" w:rsidRDefault="00EF110A" w:rsidP="0017695C">
      <w:pPr>
        <w:spacing w:after="0" w:line="240" w:lineRule="auto"/>
        <w:ind w:firstLine="567"/>
        <w:contextualSpacing/>
        <w:jc w:val="both"/>
      </w:pPr>
    </w:p>
    <w:p w:rsidR="00116AD2" w:rsidRPr="00116AD2" w:rsidRDefault="00A36D1F" w:rsidP="00D027C7">
      <w:pPr>
        <w:spacing w:after="0" w:line="240" w:lineRule="auto"/>
        <w:ind w:firstLine="720"/>
        <w:contextualSpacing/>
        <w:jc w:val="both"/>
        <w:rPr>
          <w:rFonts w:cs="Arial"/>
          <w:szCs w:val="24"/>
        </w:rPr>
      </w:pPr>
      <w:r>
        <w:t>8</w:t>
      </w:r>
      <w:r w:rsidR="00EF110A">
        <w:t>.</w:t>
      </w:r>
      <w:r w:rsidR="00116AD2">
        <w:t xml:space="preserve">Өмгөөллийн тухай болон Төлбөрийн чадваргүй яллагдагчид үзүүлэх хууль зүйн туслалцааны тухай хуультай давхардсан </w:t>
      </w:r>
      <w:r w:rsidR="004322EA">
        <w:t xml:space="preserve">зарим </w:t>
      </w:r>
      <w:r w:rsidR="00EE455D">
        <w:t>зохицуулалтад өөрчилж Хуульчдын холбоо хуульчийн мэргэжлийн үйл ажиллагаа эрхлэх зөвшөөрлийн хураамж авдаг болно</w:t>
      </w:r>
      <w:r w:rsidR="00116AD2">
        <w:t>.</w:t>
      </w:r>
    </w:p>
    <w:p w:rsidR="00BA0BFF" w:rsidRPr="003A3960" w:rsidRDefault="00BA0BFF" w:rsidP="0017695C">
      <w:pPr>
        <w:spacing w:after="0" w:line="240" w:lineRule="auto"/>
        <w:ind w:left="720" w:firstLine="720"/>
        <w:contextualSpacing/>
        <w:jc w:val="both"/>
        <w:rPr>
          <w:rFonts w:cs="Arial"/>
          <w:b/>
          <w:i/>
          <w:szCs w:val="24"/>
        </w:rPr>
      </w:pPr>
    </w:p>
    <w:p w:rsidR="00BA0BFF" w:rsidRPr="00F16361" w:rsidRDefault="00BA0BFF" w:rsidP="00D027C7">
      <w:pPr>
        <w:spacing w:after="0" w:line="240" w:lineRule="auto"/>
        <w:ind w:firstLine="720"/>
        <w:jc w:val="both"/>
        <w:rPr>
          <w:rFonts w:cs="Arial"/>
          <w:b/>
          <w:szCs w:val="24"/>
        </w:rPr>
      </w:pPr>
      <w:r w:rsidRPr="00F16361">
        <w:rPr>
          <w:rFonts w:cs="Arial"/>
          <w:b/>
          <w:szCs w:val="24"/>
        </w:rPr>
        <w:t>Гурав.Хуулийн төсөл батлагдсаны дараа үүсч болох</w:t>
      </w:r>
      <w:r>
        <w:rPr>
          <w:rFonts w:cs="Arial"/>
          <w:b/>
          <w:szCs w:val="24"/>
        </w:rPr>
        <w:t xml:space="preserve"> эдийн засаг,</w:t>
      </w:r>
      <w:r w:rsidRPr="00F16361">
        <w:rPr>
          <w:rFonts w:cs="Arial"/>
          <w:b/>
          <w:szCs w:val="24"/>
        </w:rPr>
        <w:t xml:space="preserve"> нийгэм, </w:t>
      </w:r>
      <w:r>
        <w:rPr>
          <w:rFonts w:cs="Arial"/>
          <w:b/>
          <w:szCs w:val="24"/>
        </w:rPr>
        <w:t>хууль зүйн үр да</w:t>
      </w:r>
      <w:r w:rsidRPr="00F16361">
        <w:rPr>
          <w:rFonts w:cs="Arial"/>
          <w:b/>
          <w:szCs w:val="24"/>
        </w:rPr>
        <w:t>гавар</w:t>
      </w:r>
    </w:p>
    <w:p w:rsidR="00BA0BFF" w:rsidRDefault="00BA0BFF" w:rsidP="0017695C">
      <w:pPr>
        <w:spacing w:after="0" w:line="240" w:lineRule="auto"/>
        <w:contextualSpacing/>
        <w:jc w:val="both"/>
        <w:rPr>
          <w:rFonts w:cs="Arial"/>
          <w:szCs w:val="24"/>
        </w:rPr>
      </w:pPr>
    </w:p>
    <w:p w:rsidR="001435AF" w:rsidRDefault="00D027C7" w:rsidP="00D027C7">
      <w:pPr>
        <w:spacing w:after="0" w:line="240" w:lineRule="auto"/>
        <w:ind w:firstLine="720"/>
        <w:contextualSpacing/>
        <w:jc w:val="both"/>
        <w:rPr>
          <w:rFonts w:cs="Arial"/>
          <w:szCs w:val="24"/>
        </w:rPr>
      </w:pPr>
      <w:r w:rsidRPr="00D027C7">
        <w:rPr>
          <w:rFonts w:cs="Arial"/>
          <w:szCs w:val="24"/>
        </w:rPr>
        <w:t>Хуульчий</w:t>
      </w:r>
      <w:r>
        <w:rPr>
          <w:rFonts w:cs="Arial"/>
          <w:szCs w:val="24"/>
        </w:rPr>
        <w:t>н эрх зүйн байдлын тухай хууль боловсронгуй болж</w:t>
      </w:r>
      <w:r w:rsidRPr="00D027C7">
        <w:rPr>
          <w:rFonts w:cs="Arial"/>
          <w:szCs w:val="24"/>
        </w:rPr>
        <w:t>, Монголын Хуульчдын холбоо болон Өмгөө</w:t>
      </w:r>
      <w:r>
        <w:rPr>
          <w:rFonts w:cs="Arial"/>
          <w:szCs w:val="24"/>
        </w:rPr>
        <w:t>лөгчдийн Холбооны үйл ажиллагааны уял</w:t>
      </w:r>
      <w:r w:rsidR="00C70BDB">
        <w:rPr>
          <w:rFonts w:cs="Arial"/>
          <w:szCs w:val="24"/>
        </w:rPr>
        <w:t xml:space="preserve">даа холбоо хангагдаж, тэдгээрийн </w:t>
      </w:r>
      <w:r>
        <w:rPr>
          <w:rFonts w:cs="Arial"/>
          <w:szCs w:val="24"/>
        </w:rPr>
        <w:t>чиг үүргийн</w:t>
      </w:r>
      <w:r w:rsidRPr="00D027C7">
        <w:rPr>
          <w:rFonts w:cs="Arial"/>
          <w:szCs w:val="24"/>
        </w:rPr>
        <w:t xml:space="preserve"> </w:t>
      </w:r>
      <w:r w:rsidR="00C70BDB">
        <w:rPr>
          <w:rFonts w:cs="Arial"/>
          <w:szCs w:val="24"/>
        </w:rPr>
        <w:t>хуваарилалт оновчтой болох</w:t>
      </w:r>
      <w:r w:rsidR="00976E58">
        <w:rPr>
          <w:rFonts w:cs="Arial"/>
          <w:szCs w:val="24"/>
        </w:rPr>
        <w:t>, хуульчдын өөрөө удирдах ёсны байгууллагын эрх зүйн байдал тодорхой бол</w:t>
      </w:r>
      <w:r w:rsidR="00EE455D">
        <w:rPr>
          <w:rFonts w:cs="Arial"/>
          <w:szCs w:val="24"/>
        </w:rPr>
        <w:t>но</w:t>
      </w:r>
      <w:r w:rsidR="001435AF">
        <w:rPr>
          <w:rFonts w:cs="Arial"/>
          <w:szCs w:val="24"/>
        </w:rPr>
        <w:t>.</w:t>
      </w:r>
    </w:p>
    <w:p w:rsidR="00EE455D" w:rsidRDefault="00EE455D" w:rsidP="00EE455D">
      <w:pPr>
        <w:spacing w:after="0" w:line="240" w:lineRule="auto"/>
        <w:ind w:firstLine="720"/>
        <w:contextualSpacing/>
        <w:jc w:val="both"/>
        <w:rPr>
          <w:rFonts w:cs="Arial"/>
          <w:szCs w:val="24"/>
        </w:rPr>
      </w:pPr>
    </w:p>
    <w:p w:rsidR="00EE455D" w:rsidRDefault="00EE455D" w:rsidP="00EE455D">
      <w:pPr>
        <w:spacing w:after="0" w:line="240" w:lineRule="auto"/>
        <w:ind w:firstLine="720"/>
        <w:contextualSpacing/>
        <w:jc w:val="both"/>
        <w:rPr>
          <w:rFonts w:cs="Arial"/>
          <w:szCs w:val="24"/>
        </w:rPr>
      </w:pPr>
      <w:r w:rsidRPr="00EE455D">
        <w:rPr>
          <w:rFonts w:cs="Arial"/>
          <w:szCs w:val="24"/>
        </w:rPr>
        <w:t>Шүүхийн хараат бус байдлыг хангаж, шүүгчийн хариуцлагыг дээшлүүлэхтэй холбоотой Үндсэн хуульд оруу</w:t>
      </w:r>
      <w:r>
        <w:rPr>
          <w:rFonts w:cs="Arial"/>
          <w:szCs w:val="24"/>
        </w:rPr>
        <w:t xml:space="preserve">лсан нэмэлт, өөрчлөлт </w:t>
      </w:r>
      <w:r w:rsidRPr="00EE455D">
        <w:rPr>
          <w:rFonts w:cs="Arial"/>
          <w:szCs w:val="24"/>
        </w:rPr>
        <w:t>нэг мөр хэрэгжих нөхцөл бүрдэнэ</w:t>
      </w:r>
      <w:r w:rsidR="003E5B15">
        <w:rPr>
          <w:rFonts w:cs="Arial"/>
          <w:szCs w:val="24"/>
        </w:rPr>
        <w:t>.</w:t>
      </w:r>
    </w:p>
    <w:p w:rsidR="00262F69" w:rsidRDefault="00262F69" w:rsidP="00EE455D">
      <w:pPr>
        <w:spacing w:after="0" w:line="240" w:lineRule="auto"/>
        <w:ind w:firstLine="720"/>
        <w:contextualSpacing/>
        <w:jc w:val="both"/>
        <w:rPr>
          <w:rFonts w:cs="Arial"/>
          <w:szCs w:val="24"/>
        </w:rPr>
      </w:pPr>
    </w:p>
    <w:p w:rsidR="00262F69" w:rsidRPr="0065195C" w:rsidRDefault="00262F69" w:rsidP="00EE455D">
      <w:pPr>
        <w:spacing w:after="0" w:line="240" w:lineRule="auto"/>
        <w:ind w:firstLine="720"/>
        <w:contextualSpacing/>
        <w:jc w:val="both"/>
        <w:rPr>
          <w:rFonts w:cs="Arial"/>
          <w:szCs w:val="24"/>
        </w:rPr>
      </w:pPr>
    </w:p>
    <w:p w:rsidR="00BA0BFF" w:rsidRPr="00821CBB" w:rsidRDefault="00BA0BFF" w:rsidP="0017695C">
      <w:pPr>
        <w:spacing w:after="0" w:line="240" w:lineRule="auto"/>
        <w:ind w:firstLine="720"/>
        <w:contextualSpacing/>
        <w:jc w:val="both"/>
        <w:rPr>
          <w:rFonts w:cs="Arial"/>
          <w:szCs w:val="24"/>
        </w:rPr>
      </w:pPr>
    </w:p>
    <w:p w:rsidR="00BA0BFF" w:rsidRPr="00F16361" w:rsidRDefault="00BA0BFF" w:rsidP="00C70BDB">
      <w:pPr>
        <w:spacing w:after="0" w:line="240" w:lineRule="auto"/>
        <w:ind w:firstLine="720"/>
        <w:jc w:val="both"/>
        <w:rPr>
          <w:rFonts w:cs="Arial"/>
          <w:szCs w:val="24"/>
        </w:rPr>
      </w:pPr>
      <w:r w:rsidRPr="00F16361">
        <w:rPr>
          <w:rFonts w:cs="Arial"/>
          <w:b/>
          <w:szCs w:val="24"/>
        </w:rPr>
        <w:t xml:space="preserve">Дөрөв.Хуулийн төсөл Монгол Улсын Үндсэн хууль, </w:t>
      </w:r>
      <w:r>
        <w:rPr>
          <w:rFonts w:cs="Arial"/>
          <w:b/>
          <w:szCs w:val="24"/>
        </w:rPr>
        <w:t xml:space="preserve">Монгол Улсын олон улсын гэрээ болон </w:t>
      </w:r>
      <w:r w:rsidRPr="00F16361">
        <w:rPr>
          <w:rFonts w:cs="Arial"/>
          <w:b/>
          <w:szCs w:val="24"/>
        </w:rPr>
        <w:t>бусад хуультай хэрхэн уялдах</w:t>
      </w:r>
      <w:r>
        <w:rPr>
          <w:rFonts w:cs="Arial"/>
          <w:b/>
          <w:szCs w:val="24"/>
        </w:rPr>
        <w:t xml:space="preserve">, хуулийг хэрэгжүүлэхэд шинээр боловсруулах, хуульд </w:t>
      </w:r>
      <w:r w:rsidRPr="00F16361">
        <w:rPr>
          <w:rFonts w:cs="Arial"/>
          <w:b/>
          <w:szCs w:val="24"/>
        </w:rPr>
        <w:t>нэмэлт, өөрчлөлт оруулах, хүчингүй бол</w:t>
      </w:r>
      <w:r>
        <w:rPr>
          <w:rFonts w:cs="Arial"/>
          <w:b/>
          <w:szCs w:val="24"/>
        </w:rPr>
        <w:t>с</w:t>
      </w:r>
      <w:r w:rsidRPr="00F16361">
        <w:rPr>
          <w:rFonts w:cs="Arial"/>
          <w:b/>
          <w:szCs w:val="24"/>
        </w:rPr>
        <w:t>о</w:t>
      </w:r>
      <w:r>
        <w:rPr>
          <w:rFonts w:cs="Arial"/>
          <w:b/>
          <w:szCs w:val="24"/>
        </w:rPr>
        <w:t xml:space="preserve">нд тооцох тухай </w:t>
      </w:r>
      <w:r w:rsidRPr="00F16361">
        <w:rPr>
          <w:rFonts w:cs="Arial"/>
          <w:b/>
          <w:szCs w:val="24"/>
        </w:rPr>
        <w:t>хуул</w:t>
      </w:r>
      <w:r>
        <w:rPr>
          <w:rFonts w:cs="Arial"/>
          <w:b/>
          <w:szCs w:val="24"/>
        </w:rPr>
        <w:t>ь тогтоомж</w:t>
      </w:r>
      <w:r w:rsidRPr="00F16361">
        <w:rPr>
          <w:rFonts w:cs="Arial"/>
          <w:b/>
          <w:szCs w:val="24"/>
        </w:rPr>
        <w:t>ийн талаарх санал</w:t>
      </w:r>
    </w:p>
    <w:p w:rsidR="00BA0BFF" w:rsidRPr="003A3960" w:rsidRDefault="00BA0BFF" w:rsidP="0017695C">
      <w:pPr>
        <w:spacing w:after="0" w:line="240" w:lineRule="auto"/>
        <w:ind w:firstLine="720"/>
        <w:contextualSpacing/>
        <w:jc w:val="both"/>
        <w:rPr>
          <w:rFonts w:cs="Arial"/>
          <w:szCs w:val="24"/>
        </w:rPr>
      </w:pPr>
    </w:p>
    <w:p w:rsidR="00BA0BFF" w:rsidRPr="003A3960" w:rsidRDefault="00BA0BFF" w:rsidP="00C70BDB">
      <w:pPr>
        <w:spacing w:after="0" w:line="240" w:lineRule="auto"/>
        <w:ind w:right="49" w:firstLine="720"/>
        <w:jc w:val="both"/>
        <w:rPr>
          <w:rFonts w:eastAsia="Calibri" w:cs="Arial"/>
          <w:szCs w:val="24"/>
        </w:rPr>
      </w:pPr>
      <w:r w:rsidRPr="003A3960">
        <w:rPr>
          <w:rFonts w:cs="Arial"/>
          <w:szCs w:val="24"/>
        </w:rPr>
        <w:t>Энэхүү хуулийн төслийг Монгол Улсын Үндсэн хуульд нийцүүлэн боловсруулах бөгөөд хуулийн төсөлтэй</w:t>
      </w:r>
      <w:r w:rsidR="00C86B83">
        <w:rPr>
          <w:rFonts w:cs="Arial"/>
          <w:szCs w:val="24"/>
        </w:rPr>
        <w:t xml:space="preserve"> </w:t>
      </w:r>
      <w:r w:rsidR="00EE455D">
        <w:rPr>
          <w:rFonts w:cs="Arial"/>
          <w:szCs w:val="24"/>
        </w:rPr>
        <w:t>холбогдуулан Төрийн албаны тухай хуульд нэмэлт оруулах тухай, Хуульчийн эрх зүйн байдлын тухай хуулийг дагаж мөрдөх журмын</w:t>
      </w:r>
      <w:r w:rsidR="00C86B83">
        <w:rPr>
          <w:rFonts w:cs="Arial"/>
          <w:szCs w:val="24"/>
        </w:rPr>
        <w:t xml:space="preserve"> тухай</w:t>
      </w:r>
      <w:r>
        <w:rPr>
          <w:rFonts w:cs="Arial"/>
          <w:szCs w:val="24"/>
        </w:rPr>
        <w:t xml:space="preserve"> </w:t>
      </w:r>
      <w:r w:rsidRPr="003A3960">
        <w:rPr>
          <w:rFonts w:cs="Arial"/>
          <w:szCs w:val="24"/>
        </w:rPr>
        <w:t>хуул</w:t>
      </w:r>
      <w:r>
        <w:rPr>
          <w:rFonts w:cs="Arial"/>
          <w:szCs w:val="24"/>
        </w:rPr>
        <w:t>ийн төслийг боловсруулна.</w:t>
      </w:r>
    </w:p>
    <w:p w:rsidR="00BA0BFF" w:rsidRPr="003A3960" w:rsidRDefault="00BA0BFF" w:rsidP="0017695C">
      <w:pPr>
        <w:spacing w:after="0" w:line="240" w:lineRule="auto"/>
        <w:rPr>
          <w:rFonts w:cs="Arial"/>
          <w:szCs w:val="24"/>
        </w:rPr>
      </w:pPr>
    </w:p>
    <w:p w:rsidR="00BA0BFF" w:rsidRPr="003A3960" w:rsidRDefault="00BA0BFF" w:rsidP="0017695C">
      <w:pPr>
        <w:spacing w:after="0" w:line="240" w:lineRule="auto"/>
        <w:rPr>
          <w:rFonts w:cs="Arial"/>
          <w:szCs w:val="24"/>
        </w:rPr>
      </w:pPr>
    </w:p>
    <w:p w:rsidR="004D510C" w:rsidRDefault="004D510C" w:rsidP="0017695C">
      <w:pPr>
        <w:spacing w:after="0" w:line="240" w:lineRule="auto"/>
        <w:jc w:val="center"/>
        <w:rPr>
          <w:rFonts w:cs="Arial"/>
          <w:szCs w:val="24"/>
        </w:rPr>
      </w:pPr>
    </w:p>
    <w:p w:rsidR="00BA0BFF" w:rsidRPr="003A3960" w:rsidRDefault="00BA0BFF" w:rsidP="0017695C">
      <w:pPr>
        <w:spacing w:after="0" w:line="240" w:lineRule="auto"/>
        <w:jc w:val="center"/>
        <w:rPr>
          <w:rFonts w:cs="Arial"/>
          <w:szCs w:val="24"/>
        </w:rPr>
      </w:pPr>
      <w:r>
        <w:rPr>
          <w:rFonts w:cs="Arial"/>
          <w:szCs w:val="24"/>
        </w:rPr>
        <w:t>--оОо--</w:t>
      </w:r>
    </w:p>
    <w:p w:rsidR="000E1871" w:rsidRPr="00BC7008" w:rsidRDefault="000E1871" w:rsidP="00BC7008">
      <w:pPr>
        <w:spacing w:after="0" w:line="240" w:lineRule="auto"/>
        <w:rPr>
          <w:lang w:val="en-US"/>
        </w:rPr>
      </w:pPr>
      <w:bookmarkStart w:id="0" w:name="_GoBack"/>
      <w:bookmarkEnd w:id="0"/>
    </w:p>
    <w:sectPr w:rsidR="000E1871" w:rsidRPr="00BC7008" w:rsidSect="00B33808">
      <w:footerReference w:type="default" r:id="rId7"/>
      <w:pgSz w:w="12240" w:h="15840"/>
      <w:pgMar w:top="851" w:right="1041"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57" w:rsidRDefault="00875557" w:rsidP="00BA0BFF">
      <w:pPr>
        <w:spacing w:after="0" w:line="240" w:lineRule="auto"/>
      </w:pPr>
      <w:r>
        <w:separator/>
      </w:r>
    </w:p>
  </w:endnote>
  <w:endnote w:type="continuationSeparator" w:id="0">
    <w:p w:rsidR="00875557" w:rsidRDefault="00875557" w:rsidP="00BA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35" w:rsidRDefault="00875557">
    <w:pPr>
      <w:pStyle w:val="Footer"/>
      <w:jc w:val="center"/>
    </w:pPr>
  </w:p>
  <w:p w:rsidR="008F3F35" w:rsidRDefault="00875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57" w:rsidRDefault="00875557" w:rsidP="00BA0BFF">
      <w:pPr>
        <w:spacing w:after="0" w:line="240" w:lineRule="auto"/>
      </w:pPr>
      <w:r>
        <w:separator/>
      </w:r>
    </w:p>
  </w:footnote>
  <w:footnote w:type="continuationSeparator" w:id="0">
    <w:p w:rsidR="00875557" w:rsidRDefault="00875557" w:rsidP="00BA0B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FF"/>
    <w:rsid w:val="000229A5"/>
    <w:rsid w:val="000C4C38"/>
    <w:rsid w:val="000E1871"/>
    <w:rsid w:val="000F44A6"/>
    <w:rsid w:val="001034C2"/>
    <w:rsid w:val="00116AD2"/>
    <w:rsid w:val="00130200"/>
    <w:rsid w:val="001368B1"/>
    <w:rsid w:val="001435AF"/>
    <w:rsid w:val="00143983"/>
    <w:rsid w:val="00146633"/>
    <w:rsid w:val="001572AA"/>
    <w:rsid w:val="0017695C"/>
    <w:rsid w:val="0018461D"/>
    <w:rsid w:val="00184BA3"/>
    <w:rsid w:val="0019057A"/>
    <w:rsid w:val="001C227F"/>
    <w:rsid w:val="001D5D25"/>
    <w:rsid w:val="001E6BC3"/>
    <w:rsid w:val="001F1FEB"/>
    <w:rsid w:val="0020640F"/>
    <w:rsid w:val="002518D1"/>
    <w:rsid w:val="00260004"/>
    <w:rsid w:val="00262F69"/>
    <w:rsid w:val="00291EBC"/>
    <w:rsid w:val="00294F15"/>
    <w:rsid w:val="002D264B"/>
    <w:rsid w:val="00327EB7"/>
    <w:rsid w:val="00394AD8"/>
    <w:rsid w:val="003D046F"/>
    <w:rsid w:val="003D1CF0"/>
    <w:rsid w:val="003E2994"/>
    <w:rsid w:val="003E5B15"/>
    <w:rsid w:val="003F2498"/>
    <w:rsid w:val="00423F09"/>
    <w:rsid w:val="004322EA"/>
    <w:rsid w:val="0043261F"/>
    <w:rsid w:val="004339CC"/>
    <w:rsid w:val="004409BD"/>
    <w:rsid w:val="00453642"/>
    <w:rsid w:val="004D510C"/>
    <w:rsid w:val="004E1CBD"/>
    <w:rsid w:val="0053249C"/>
    <w:rsid w:val="00555C3C"/>
    <w:rsid w:val="00563E2C"/>
    <w:rsid w:val="005773D9"/>
    <w:rsid w:val="00596F74"/>
    <w:rsid w:val="005A4DEB"/>
    <w:rsid w:val="005A55A5"/>
    <w:rsid w:val="005B7AEC"/>
    <w:rsid w:val="005E1A5A"/>
    <w:rsid w:val="0064134C"/>
    <w:rsid w:val="00647CD6"/>
    <w:rsid w:val="00650615"/>
    <w:rsid w:val="0065195C"/>
    <w:rsid w:val="00664B99"/>
    <w:rsid w:val="00673EF2"/>
    <w:rsid w:val="006C2F8C"/>
    <w:rsid w:val="00712724"/>
    <w:rsid w:val="00735B3F"/>
    <w:rsid w:val="00740595"/>
    <w:rsid w:val="007F06F4"/>
    <w:rsid w:val="007F0727"/>
    <w:rsid w:val="00800F69"/>
    <w:rsid w:val="00815E58"/>
    <w:rsid w:val="00817623"/>
    <w:rsid w:val="008208A1"/>
    <w:rsid w:val="00821CBB"/>
    <w:rsid w:val="008310E8"/>
    <w:rsid w:val="00870A70"/>
    <w:rsid w:val="00875557"/>
    <w:rsid w:val="00881956"/>
    <w:rsid w:val="00887CCC"/>
    <w:rsid w:val="00896D96"/>
    <w:rsid w:val="008D00FF"/>
    <w:rsid w:val="008E34AC"/>
    <w:rsid w:val="00925242"/>
    <w:rsid w:val="009641F6"/>
    <w:rsid w:val="00967CC0"/>
    <w:rsid w:val="00976E58"/>
    <w:rsid w:val="009874B1"/>
    <w:rsid w:val="009A17E6"/>
    <w:rsid w:val="009A401E"/>
    <w:rsid w:val="009A6149"/>
    <w:rsid w:val="009F558D"/>
    <w:rsid w:val="009F7E02"/>
    <w:rsid w:val="00A152DD"/>
    <w:rsid w:val="00A3294D"/>
    <w:rsid w:val="00A36D1F"/>
    <w:rsid w:val="00A71EA1"/>
    <w:rsid w:val="00AB7DD4"/>
    <w:rsid w:val="00AC3FE9"/>
    <w:rsid w:val="00AD1733"/>
    <w:rsid w:val="00AE5E84"/>
    <w:rsid w:val="00AF7E85"/>
    <w:rsid w:val="00B24309"/>
    <w:rsid w:val="00B473E0"/>
    <w:rsid w:val="00B936F1"/>
    <w:rsid w:val="00BA0BFF"/>
    <w:rsid w:val="00BC7008"/>
    <w:rsid w:val="00C331D7"/>
    <w:rsid w:val="00C70BDB"/>
    <w:rsid w:val="00C86B83"/>
    <w:rsid w:val="00C922F5"/>
    <w:rsid w:val="00CA00A5"/>
    <w:rsid w:val="00CC7738"/>
    <w:rsid w:val="00CC7CEE"/>
    <w:rsid w:val="00D02225"/>
    <w:rsid w:val="00D027C7"/>
    <w:rsid w:val="00D3224A"/>
    <w:rsid w:val="00D45630"/>
    <w:rsid w:val="00D51B97"/>
    <w:rsid w:val="00D73853"/>
    <w:rsid w:val="00D83563"/>
    <w:rsid w:val="00D84D0A"/>
    <w:rsid w:val="00DC69C5"/>
    <w:rsid w:val="00DD1D8C"/>
    <w:rsid w:val="00E01725"/>
    <w:rsid w:val="00E24E81"/>
    <w:rsid w:val="00E33CEC"/>
    <w:rsid w:val="00E705CE"/>
    <w:rsid w:val="00E7233C"/>
    <w:rsid w:val="00E8479C"/>
    <w:rsid w:val="00E84A84"/>
    <w:rsid w:val="00EA04FC"/>
    <w:rsid w:val="00EA4D46"/>
    <w:rsid w:val="00EA5469"/>
    <w:rsid w:val="00EA6787"/>
    <w:rsid w:val="00EB379D"/>
    <w:rsid w:val="00EE455D"/>
    <w:rsid w:val="00EE65AD"/>
    <w:rsid w:val="00EF110A"/>
    <w:rsid w:val="00EF7D85"/>
    <w:rsid w:val="00F168EA"/>
    <w:rsid w:val="00F20310"/>
    <w:rsid w:val="00F4330B"/>
    <w:rsid w:val="00F565BF"/>
    <w:rsid w:val="00F6099A"/>
    <w:rsid w:val="00F666AD"/>
    <w:rsid w:val="00FC3B2B"/>
    <w:rsid w:val="00FC44A7"/>
    <w:rsid w:val="00FE3EC5"/>
    <w:rsid w:val="00FF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ind w:left="46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FF"/>
    <w:pPr>
      <w:spacing w:after="200" w:line="276" w:lineRule="auto"/>
      <w:ind w:left="0"/>
      <w:jc w:val="left"/>
    </w:pPr>
    <w:rPr>
      <w:rFonts w:cstheme="minorBidi"/>
      <w:noProof/>
      <w:szCs w:val="22"/>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A0BFF"/>
    <w:pPr>
      <w:spacing w:after="0" w:line="240" w:lineRule="auto"/>
      <w:jc w:val="center"/>
    </w:pPr>
    <w:rPr>
      <w:rFonts w:ascii="Arial Mon" w:eastAsia="Times New Roman" w:hAnsi="Arial Mon" w:cs="Times New Roman"/>
      <w:b/>
      <w:bCs/>
      <w:szCs w:val="24"/>
    </w:rPr>
  </w:style>
  <w:style w:type="character" w:customStyle="1" w:styleId="BodyTextChar">
    <w:name w:val="Body Text Char"/>
    <w:basedOn w:val="DefaultParagraphFont"/>
    <w:link w:val="BodyText"/>
    <w:semiHidden/>
    <w:rsid w:val="00BA0BFF"/>
    <w:rPr>
      <w:rFonts w:ascii="Arial Mon" w:eastAsia="Times New Roman" w:hAnsi="Arial Mon" w:cs="Times New Roman"/>
      <w:b/>
      <w:bCs/>
    </w:rPr>
  </w:style>
  <w:style w:type="paragraph" w:styleId="Footer">
    <w:name w:val="footer"/>
    <w:basedOn w:val="Normal"/>
    <w:link w:val="FooterChar"/>
    <w:uiPriority w:val="99"/>
    <w:unhideWhenUsed/>
    <w:rsid w:val="00BA0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BFF"/>
    <w:rPr>
      <w:rFonts w:cstheme="minorBidi"/>
      <w:szCs w:val="22"/>
    </w:rPr>
  </w:style>
  <w:style w:type="paragraph" w:styleId="FootnoteText">
    <w:name w:val="footnote text"/>
    <w:basedOn w:val="Normal"/>
    <w:link w:val="FootnoteTextChar"/>
    <w:uiPriority w:val="99"/>
    <w:unhideWhenUsed/>
    <w:rsid w:val="00BA0BFF"/>
    <w:pPr>
      <w:spacing w:after="0" w:line="240" w:lineRule="auto"/>
    </w:pPr>
    <w:rPr>
      <w:rFonts w:ascii="Calibri" w:eastAsia="MS Mincho" w:hAnsi="Calibri" w:cs="Times New Roman"/>
      <w:sz w:val="20"/>
      <w:szCs w:val="20"/>
    </w:rPr>
  </w:style>
  <w:style w:type="character" w:customStyle="1" w:styleId="FootnoteTextChar">
    <w:name w:val="Footnote Text Char"/>
    <w:basedOn w:val="DefaultParagraphFont"/>
    <w:link w:val="FootnoteText"/>
    <w:uiPriority w:val="99"/>
    <w:rsid w:val="00BA0BFF"/>
    <w:rPr>
      <w:rFonts w:ascii="Calibri" w:eastAsia="MS Mincho" w:hAnsi="Calibri" w:cs="Times New Roman"/>
      <w:sz w:val="20"/>
      <w:szCs w:val="20"/>
    </w:rPr>
  </w:style>
  <w:style w:type="character" w:styleId="FootnoteReference">
    <w:name w:val="footnote reference"/>
    <w:uiPriority w:val="99"/>
    <w:unhideWhenUsed/>
    <w:rsid w:val="00BA0BFF"/>
    <w:rPr>
      <w:vertAlign w:val="superscript"/>
    </w:rPr>
  </w:style>
  <w:style w:type="paragraph" w:styleId="NormalWeb">
    <w:name w:val="Normal (Web)"/>
    <w:basedOn w:val="Normal"/>
    <w:uiPriority w:val="99"/>
    <w:unhideWhenUsed/>
    <w:rsid w:val="00BA0BFF"/>
    <w:pPr>
      <w:spacing w:before="100" w:beforeAutospacing="1" w:after="100" w:afterAutospacing="1" w:line="240" w:lineRule="auto"/>
    </w:pPr>
    <w:rPr>
      <w:rFonts w:ascii="Times New Roman" w:eastAsia="Times New Roman" w:hAnsi="Times New Roman" w:cs="Times New Roman"/>
      <w:szCs w:val="24"/>
      <w:lang w:eastAsia="ja-JP"/>
    </w:rPr>
  </w:style>
  <w:style w:type="character" w:styleId="Strong">
    <w:name w:val="Strong"/>
    <w:basedOn w:val="DefaultParagraphFont"/>
    <w:uiPriority w:val="22"/>
    <w:qFormat/>
    <w:rsid w:val="00650615"/>
    <w:rPr>
      <w:b/>
      <w:bCs/>
    </w:rPr>
  </w:style>
  <w:style w:type="paragraph" w:styleId="ListParagraph">
    <w:name w:val="List Paragraph"/>
    <w:basedOn w:val="Normal"/>
    <w:uiPriority w:val="34"/>
    <w:qFormat/>
    <w:rsid w:val="001034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ind w:left="46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FF"/>
    <w:pPr>
      <w:spacing w:after="200" w:line="276" w:lineRule="auto"/>
      <w:ind w:left="0"/>
      <w:jc w:val="left"/>
    </w:pPr>
    <w:rPr>
      <w:rFonts w:cstheme="minorBidi"/>
      <w:noProof/>
      <w:szCs w:val="22"/>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A0BFF"/>
    <w:pPr>
      <w:spacing w:after="0" w:line="240" w:lineRule="auto"/>
      <w:jc w:val="center"/>
    </w:pPr>
    <w:rPr>
      <w:rFonts w:ascii="Arial Mon" w:eastAsia="Times New Roman" w:hAnsi="Arial Mon" w:cs="Times New Roman"/>
      <w:b/>
      <w:bCs/>
      <w:szCs w:val="24"/>
    </w:rPr>
  </w:style>
  <w:style w:type="character" w:customStyle="1" w:styleId="BodyTextChar">
    <w:name w:val="Body Text Char"/>
    <w:basedOn w:val="DefaultParagraphFont"/>
    <w:link w:val="BodyText"/>
    <w:semiHidden/>
    <w:rsid w:val="00BA0BFF"/>
    <w:rPr>
      <w:rFonts w:ascii="Arial Mon" w:eastAsia="Times New Roman" w:hAnsi="Arial Mon" w:cs="Times New Roman"/>
      <w:b/>
      <w:bCs/>
    </w:rPr>
  </w:style>
  <w:style w:type="paragraph" w:styleId="Footer">
    <w:name w:val="footer"/>
    <w:basedOn w:val="Normal"/>
    <w:link w:val="FooterChar"/>
    <w:uiPriority w:val="99"/>
    <w:unhideWhenUsed/>
    <w:rsid w:val="00BA0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BFF"/>
    <w:rPr>
      <w:rFonts w:cstheme="minorBidi"/>
      <w:szCs w:val="22"/>
    </w:rPr>
  </w:style>
  <w:style w:type="paragraph" w:styleId="FootnoteText">
    <w:name w:val="footnote text"/>
    <w:basedOn w:val="Normal"/>
    <w:link w:val="FootnoteTextChar"/>
    <w:uiPriority w:val="99"/>
    <w:unhideWhenUsed/>
    <w:rsid w:val="00BA0BFF"/>
    <w:pPr>
      <w:spacing w:after="0" w:line="240" w:lineRule="auto"/>
    </w:pPr>
    <w:rPr>
      <w:rFonts w:ascii="Calibri" w:eastAsia="MS Mincho" w:hAnsi="Calibri" w:cs="Times New Roman"/>
      <w:sz w:val="20"/>
      <w:szCs w:val="20"/>
    </w:rPr>
  </w:style>
  <w:style w:type="character" w:customStyle="1" w:styleId="FootnoteTextChar">
    <w:name w:val="Footnote Text Char"/>
    <w:basedOn w:val="DefaultParagraphFont"/>
    <w:link w:val="FootnoteText"/>
    <w:uiPriority w:val="99"/>
    <w:rsid w:val="00BA0BFF"/>
    <w:rPr>
      <w:rFonts w:ascii="Calibri" w:eastAsia="MS Mincho" w:hAnsi="Calibri" w:cs="Times New Roman"/>
      <w:sz w:val="20"/>
      <w:szCs w:val="20"/>
    </w:rPr>
  </w:style>
  <w:style w:type="character" w:styleId="FootnoteReference">
    <w:name w:val="footnote reference"/>
    <w:uiPriority w:val="99"/>
    <w:unhideWhenUsed/>
    <w:rsid w:val="00BA0BFF"/>
    <w:rPr>
      <w:vertAlign w:val="superscript"/>
    </w:rPr>
  </w:style>
  <w:style w:type="paragraph" w:styleId="NormalWeb">
    <w:name w:val="Normal (Web)"/>
    <w:basedOn w:val="Normal"/>
    <w:uiPriority w:val="99"/>
    <w:unhideWhenUsed/>
    <w:rsid w:val="00BA0BFF"/>
    <w:pPr>
      <w:spacing w:before="100" w:beforeAutospacing="1" w:after="100" w:afterAutospacing="1" w:line="240" w:lineRule="auto"/>
    </w:pPr>
    <w:rPr>
      <w:rFonts w:ascii="Times New Roman" w:eastAsia="Times New Roman" w:hAnsi="Times New Roman" w:cs="Times New Roman"/>
      <w:szCs w:val="24"/>
      <w:lang w:eastAsia="ja-JP"/>
    </w:rPr>
  </w:style>
  <w:style w:type="character" w:styleId="Strong">
    <w:name w:val="Strong"/>
    <w:basedOn w:val="DefaultParagraphFont"/>
    <w:uiPriority w:val="22"/>
    <w:qFormat/>
    <w:rsid w:val="00650615"/>
    <w:rPr>
      <w:b/>
      <w:bCs/>
    </w:rPr>
  </w:style>
  <w:style w:type="paragraph" w:styleId="ListParagraph">
    <w:name w:val="List Paragraph"/>
    <w:basedOn w:val="Normal"/>
    <w:uiPriority w:val="34"/>
    <w:qFormat/>
    <w:rsid w:val="00103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10</dc:creator>
  <cp:lastModifiedBy>OTGONBAYAR</cp:lastModifiedBy>
  <cp:revision>4</cp:revision>
  <dcterms:created xsi:type="dcterms:W3CDTF">2020-03-16T10:59:00Z</dcterms:created>
  <dcterms:modified xsi:type="dcterms:W3CDTF">2020-03-16T11:29:00Z</dcterms:modified>
</cp:coreProperties>
</file>