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B6C5D" w14:textId="77777777" w:rsidR="0087753D" w:rsidRPr="00426A5E" w:rsidRDefault="0087753D" w:rsidP="0087753D">
      <w:pPr>
        <w:spacing w:after="0" w:line="276" w:lineRule="auto"/>
        <w:ind w:firstLine="567"/>
        <w:jc w:val="center"/>
        <w:rPr>
          <w:rFonts w:ascii="Arial" w:hAnsi="Arial" w:cs="Arial"/>
          <w:lang w:val="mn-MN"/>
        </w:rPr>
      </w:pPr>
      <w:r>
        <w:rPr>
          <w:rFonts w:ascii="Arial" w:hAnsi="Arial" w:cs="Arial"/>
          <w:b/>
          <w:bCs/>
          <w:lang w:val="mn-MN"/>
        </w:rPr>
        <w:t xml:space="preserve">                                                                                                                    </w:t>
      </w:r>
      <w:r w:rsidRPr="00426A5E">
        <w:rPr>
          <w:rFonts w:ascii="Arial" w:hAnsi="Arial" w:cs="Arial"/>
          <w:lang w:val="mn-MN"/>
        </w:rPr>
        <w:t>Төсөл</w:t>
      </w:r>
    </w:p>
    <w:p w14:paraId="68F8FD4E" w14:textId="77777777" w:rsidR="0087753D" w:rsidRPr="00600C2F" w:rsidRDefault="0087753D" w:rsidP="0087753D">
      <w:pPr>
        <w:spacing w:after="0" w:line="276" w:lineRule="auto"/>
        <w:ind w:firstLine="567"/>
        <w:jc w:val="both"/>
        <w:rPr>
          <w:rFonts w:ascii="Arial" w:hAnsi="Arial" w:cs="Arial"/>
          <w:b/>
          <w:bCs/>
          <w:lang w:val="mn-MN"/>
        </w:rPr>
      </w:pPr>
    </w:p>
    <w:p w14:paraId="331A8B27" w14:textId="77777777" w:rsidR="0087753D" w:rsidRPr="002A63FF" w:rsidRDefault="0087753D" w:rsidP="0087753D">
      <w:pPr>
        <w:spacing w:after="0" w:line="276" w:lineRule="auto"/>
        <w:ind w:firstLine="567"/>
        <w:jc w:val="right"/>
        <w:rPr>
          <w:rFonts w:ascii="Arial" w:hAnsi="Arial" w:cs="Arial"/>
          <w:lang w:val="mn-MN"/>
        </w:rPr>
      </w:pPr>
    </w:p>
    <w:p w14:paraId="1C592DA3" w14:textId="77777777" w:rsidR="0087753D" w:rsidRPr="002A63FF" w:rsidRDefault="0087753D" w:rsidP="0087753D">
      <w:pPr>
        <w:spacing w:after="0" w:line="276" w:lineRule="auto"/>
        <w:ind w:firstLine="567"/>
        <w:jc w:val="right"/>
        <w:rPr>
          <w:rFonts w:ascii="Arial" w:hAnsi="Arial" w:cs="Arial"/>
          <w:lang w:val="mn-MN"/>
        </w:rPr>
      </w:pPr>
      <w:r w:rsidRPr="002A63FF">
        <w:rPr>
          <w:rFonts w:ascii="Arial" w:hAnsi="Arial" w:cs="Arial"/>
          <w:lang w:val="mn-MN"/>
        </w:rPr>
        <w:t xml:space="preserve">2026 оны </w:t>
      </w:r>
      <w:r>
        <w:rPr>
          <w:rFonts w:ascii="Arial" w:hAnsi="Arial" w:cs="Arial"/>
          <w:lang w:val="mn-MN"/>
        </w:rPr>
        <w:t>02</w:t>
      </w:r>
      <w:r w:rsidRPr="002A63FF">
        <w:rPr>
          <w:rFonts w:ascii="Arial" w:hAnsi="Arial" w:cs="Arial"/>
          <w:lang w:val="mn-MN"/>
        </w:rPr>
        <w:t xml:space="preserve"> дугаар сарын </w:t>
      </w:r>
      <w:r>
        <w:rPr>
          <w:rFonts w:ascii="Arial" w:hAnsi="Arial" w:cs="Arial"/>
          <w:lang w:val="mn-MN"/>
        </w:rPr>
        <w:t>08</w:t>
      </w:r>
      <w:r w:rsidRPr="002A63FF">
        <w:rPr>
          <w:rFonts w:ascii="Arial" w:hAnsi="Arial" w:cs="Arial"/>
          <w:lang w:val="mn-MN"/>
        </w:rPr>
        <w:t xml:space="preserve"> өдөр</w:t>
      </w:r>
    </w:p>
    <w:p w14:paraId="51C20660" w14:textId="77777777" w:rsidR="0087753D" w:rsidRDefault="0087753D" w:rsidP="004626AE">
      <w:pPr>
        <w:spacing w:after="0" w:line="276" w:lineRule="auto"/>
        <w:jc w:val="center"/>
        <w:rPr>
          <w:rFonts w:ascii="Arial" w:hAnsi="Arial" w:cs="Arial"/>
          <w:b/>
          <w:bCs/>
          <w:sz w:val="24"/>
          <w:szCs w:val="24"/>
          <w:lang w:val="mn-MN"/>
        </w:rPr>
      </w:pPr>
    </w:p>
    <w:p w14:paraId="3D8D2C51" w14:textId="50B52E67" w:rsidR="00E8166B" w:rsidRPr="001F1273" w:rsidRDefault="00E8166B" w:rsidP="004626AE">
      <w:pPr>
        <w:spacing w:after="0" w:line="276" w:lineRule="auto"/>
        <w:jc w:val="center"/>
        <w:rPr>
          <w:rFonts w:ascii="Arial" w:hAnsi="Arial" w:cs="Arial"/>
          <w:b/>
          <w:bCs/>
          <w:sz w:val="24"/>
          <w:szCs w:val="24"/>
          <w:lang w:val="mn-MN"/>
        </w:rPr>
      </w:pPr>
      <w:r w:rsidRPr="001F1273">
        <w:rPr>
          <w:rFonts w:ascii="Arial" w:hAnsi="Arial" w:cs="Arial"/>
          <w:b/>
          <w:bCs/>
          <w:sz w:val="24"/>
          <w:szCs w:val="24"/>
          <w:lang w:val="mn-MN"/>
        </w:rPr>
        <w:t xml:space="preserve">МОНГОЛ УЛСЫН ИХ ХУРЛЫН ТУХАЙ ХУУЛЬД </w:t>
      </w:r>
    </w:p>
    <w:p w14:paraId="0FAFB7B6" w14:textId="77777777" w:rsidR="00E8166B" w:rsidRPr="001F1273" w:rsidRDefault="00E8166B" w:rsidP="004626AE">
      <w:pPr>
        <w:spacing w:after="0" w:line="276" w:lineRule="auto"/>
        <w:jc w:val="center"/>
        <w:rPr>
          <w:rFonts w:ascii="Arial" w:hAnsi="Arial" w:cs="Arial"/>
          <w:b/>
          <w:bCs/>
          <w:sz w:val="24"/>
          <w:szCs w:val="24"/>
          <w:lang w:val="mn-MN"/>
        </w:rPr>
      </w:pPr>
      <w:r w:rsidRPr="001F1273">
        <w:rPr>
          <w:rFonts w:ascii="Arial" w:hAnsi="Arial" w:cs="Arial"/>
          <w:b/>
          <w:bCs/>
          <w:sz w:val="24"/>
          <w:szCs w:val="24"/>
          <w:lang w:val="mn-MN"/>
        </w:rPr>
        <w:t>НЭМЭЛТ, ӨӨРЧЛӨЛТ ОРУУЛАХ ТУХАЙ ХУУЛИЙН</w:t>
      </w:r>
    </w:p>
    <w:p w14:paraId="77874593" w14:textId="63278620" w:rsidR="00946906" w:rsidRPr="001F1273" w:rsidRDefault="00E8166B" w:rsidP="004626AE">
      <w:pPr>
        <w:spacing w:after="0" w:line="276" w:lineRule="auto"/>
        <w:jc w:val="center"/>
        <w:rPr>
          <w:rFonts w:ascii="Arial" w:hAnsi="Arial" w:cs="Arial"/>
          <w:b/>
          <w:sz w:val="24"/>
          <w:szCs w:val="24"/>
          <w:lang w:val="mn-MN"/>
        </w:rPr>
      </w:pPr>
      <w:r w:rsidRPr="001F1273">
        <w:rPr>
          <w:rFonts w:ascii="Arial" w:hAnsi="Arial" w:cs="Arial"/>
          <w:b/>
          <w:sz w:val="24"/>
          <w:szCs w:val="24"/>
          <w:lang w:val="mn-MN"/>
        </w:rPr>
        <w:t xml:space="preserve"> </w:t>
      </w:r>
      <w:r w:rsidR="00975387" w:rsidRPr="001F1273">
        <w:rPr>
          <w:rFonts w:ascii="Arial" w:hAnsi="Arial" w:cs="Arial"/>
          <w:b/>
          <w:sz w:val="24"/>
          <w:szCs w:val="24"/>
          <w:lang w:val="mn-MN"/>
        </w:rPr>
        <w:t xml:space="preserve">ТӨСЛИЙН </w:t>
      </w:r>
      <w:r w:rsidR="00946906" w:rsidRPr="001F1273">
        <w:rPr>
          <w:rFonts w:ascii="Arial" w:hAnsi="Arial" w:cs="Arial"/>
          <w:b/>
          <w:sz w:val="24"/>
          <w:szCs w:val="24"/>
          <w:lang w:val="mn-MN"/>
        </w:rPr>
        <w:t>ТОВЧ ТАНИЛЦУУЛГА</w:t>
      </w:r>
    </w:p>
    <w:p w14:paraId="7E515EA0" w14:textId="77777777" w:rsidR="00E8166B" w:rsidRPr="001F1273" w:rsidRDefault="00E8166B" w:rsidP="004626AE">
      <w:pPr>
        <w:spacing w:after="0" w:line="276" w:lineRule="auto"/>
        <w:jc w:val="center"/>
        <w:rPr>
          <w:rFonts w:ascii="Arial" w:hAnsi="Arial" w:cs="Arial"/>
          <w:b/>
          <w:sz w:val="24"/>
          <w:szCs w:val="24"/>
          <w:lang w:val="mn-MN"/>
        </w:rPr>
      </w:pPr>
    </w:p>
    <w:p w14:paraId="65A419CF" w14:textId="334724A3" w:rsidR="00184589" w:rsidRPr="001F1273" w:rsidRDefault="00E8166B" w:rsidP="004626AE">
      <w:pPr>
        <w:spacing w:after="0" w:line="276" w:lineRule="auto"/>
        <w:ind w:firstLine="720"/>
        <w:jc w:val="both"/>
        <w:rPr>
          <w:rFonts w:ascii="Arial" w:eastAsia="Times New Roman" w:hAnsi="Arial" w:cs="Arial"/>
          <w:color w:val="000000" w:themeColor="text1"/>
          <w:sz w:val="24"/>
          <w:szCs w:val="24"/>
          <w:shd w:val="clear" w:color="auto" w:fill="FFFFFF"/>
          <w:lang w:val="mn-MN"/>
        </w:rPr>
      </w:pPr>
      <w:r w:rsidRPr="001F1273">
        <w:rPr>
          <w:rFonts w:ascii="Arial" w:hAnsi="Arial" w:cs="Arial"/>
          <w:color w:val="000000" w:themeColor="text1"/>
          <w:sz w:val="24"/>
          <w:szCs w:val="24"/>
          <w:lang w:val="mn-MN"/>
        </w:rPr>
        <w:t>Монгол Улсын Үндсэн хуулийн Хорин есдүгээр зүйлийн 3 дахь хэсэгт “Улсын Их Хурлын гишүүн бүрэн эрхээ хэрэгжүүлэхдээ өргөсөн тангаргаасаа няцаж Үндсэн хууль зөрчсөн бол түүнийг Улсын Их Хурлын гишүүнээс эгүүлэн татах үндэслэл болно. Улсын Хурлын гишүүн гэмт хэрэгт холбогдсон тухай асуудлыг Улсын Их Хурлын чуулганаар хэлэлцэж, бүрэн эрхийг нь түдгэлзүүлэх эсэхийг шийдвэрлэнэ. Уул гишүүн гэмт хэрэг үйлдсэн гэж шүүх тогтоовол Улсын Их Хурал түүнийг гишүүнээс нь эгүүлэн татна”, Жаран зургадугаар зүйлийн 2 дахь хэсгийн 3-т “</w:t>
      </w:r>
      <w:r w:rsidRPr="001F1273">
        <w:rPr>
          <w:rFonts w:ascii="Arial" w:eastAsia="Times New Roman" w:hAnsi="Arial" w:cs="Arial"/>
          <w:color w:val="000000" w:themeColor="text1"/>
          <w:sz w:val="24"/>
          <w:szCs w:val="24"/>
          <w:shd w:val="clear" w:color="auto" w:fill="FFFFFF"/>
          <w:lang w:val="mn-MN"/>
        </w:rPr>
        <w:t xml:space="preserve">Ерөнхийлөгч, Улсын Их Хурлын дарга, гишүүн, Ерөнхий сайд, Засгийн газрын гишүүн, Улсын дээд шүүхийн Ерөнхий шүүгч, Улсын ерөнхий прокурор Үндсэн хууль зөрчсөн эсэх”, мөн зүйлийн 4-т </w:t>
      </w:r>
      <w:r w:rsidR="003D4AF0">
        <w:rPr>
          <w:rFonts w:ascii="Arial" w:eastAsia="Times New Roman" w:hAnsi="Arial" w:cs="Arial"/>
          <w:color w:val="000000" w:themeColor="text1"/>
          <w:sz w:val="24"/>
          <w:szCs w:val="24"/>
          <w:shd w:val="clear" w:color="auto" w:fill="FFFFFF"/>
          <w:lang w:val="mn-MN"/>
        </w:rPr>
        <w:t>“</w:t>
      </w:r>
      <w:r w:rsidRPr="001F1273">
        <w:rPr>
          <w:rFonts w:ascii="Arial" w:eastAsia="Times New Roman" w:hAnsi="Arial" w:cs="Arial"/>
          <w:color w:val="000000" w:themeColor="text1"/>
          <w:sz w:val="24"/>
          <w:szCs w:val="24"/>
          <w:shd w:val="clear" w:color="auto" w:fill="FFFFFF"/>
          <w:lang w:val="mn-MN"/>
        </w:rPr>
        <w:t>Ерөнхийлөгч, Улсын Их Хурлын дарга, Ерөнхий сайдыг огцруулах, Улсын Их Хурлын гишүүнийг эгүүлэн татах үндэслэл байгаа эсэх” асуудлаар Үндсэн хуулийн цэц дүгнэлт гаргахаар зохицуулжээ.</w:t>
      </w:r>
    </w:p>
    <w:p w14:paraId="56129217" w14:textId="5A8CC666" w:rsidR="00E8166B" w:rsidRPr="001F1273" w:rsidRDefault="00E8166B" w:rsidP="004626AE">
      <w:pPr>
        <w:spacing w:after="0" w:line="276" w:lineRule="auto"/>
        <w:ind w:firstLine="720"/>
        <w:jc w:val="both"/>
        <w:rPr>
          <w:rFonts w:ascii="Arial" w:eastAsia="Times New Roman" w:hAnsi="Arial" w:cs="Arial"/>
          <w:color w:val="000000" w:themeColor="text1"/>
          <w:sz w:val="24"/>
          <w:szCs w:val="24"/>
          <w:shd w:val="clear" w:color="auto" w:fill="FFFFFF"/>
          <w:lang w:val="mn-MN"/>
        </w:rPr>
      </w:pPr>
      <w:r w:rsidRPr="001F1273">
        <w:rPr>
          <w:rFonts w:ascii="Arial" w:eastAsia="Times New Roman" w:hAnsi="Arial" w:cs="Arial"/>
          <w:color w:val="000000" w:themeColor="text1"/>
          <w:sz w:val="24"/>
          <w:szCs w:val="24"/>
          <w:shd w:val="clear" w:color="auto" w:fill="FFFFFF"/>
          <w:lang w:val="mn-MN"/>
        </w:rPr>
        <w:t xml:space="preserve"> </w:t>
      </w:r>
    </w:p>
    <w:p w14:paraId="4D9D8E25" w14:textId="12A81AA3" w:rsidR="00E8166B" w:rsidRPr="001F1273" w:rsidRDefault="00E8166B" w:rsidP="004626AE">
      <w:pPr>
        <w:spacing w:after="0" w:line="276" w:lineRule="auto"/>
        <w:ind w:firstLine="720"/>
        <w:jc w:val="both"/>
        <w:rPr>
          <w:rFonts w:ascii="Arial" w:eastAsia="Times New Roman" w:hAnsi="Arial" w:cs="Arial"/>
          <w:color w:val="000000" w:themeColor="text1"/>
          <w:sz w:val="24"/>
          <w:szCs w:val="24"/>
          <w:shd w:val="clear" w:color="auto" w:fill="FFFFFF"/>
          <w:lang w:val="mn-MN"/>
        </w:rPr>
      </w:pPr>
      <w:r w:rsidRPr="001F1273">
        <w:rPr>
          <w:rFonts w:ascii="Arial" w:eastAsia="Times New Roman" w:hAnsi="Arial" w:cs="Arial"/>
          <w:color w:val="000000" w:themeColor="text1"/>
          <w:sz w:val="24"/>
          <w:szCs w:val="24"/>
          <w:shd w:val="clear" w:color="auto" w:fill="FFFFFF"/>
          <w:lang w:val="mn-MN"/>
        </w:rPr>
        <w:t>Түүнчлэн Тавьдугаар зүйлийн 2 дахь хэсэгт “Улсын дээд шүүхийн шийдвэр шүүхийн эцсийн шийдвэр байх бөгөөд түүнийг бүх шүүх, бусад этгээд заавал биелүүлнэ. Хэрэв Улсын дээд шүүхийн шийдвэр хуульд харшилбал түүнийг Улсын дээд шүүх өөрөө хүчингүй болгоно. Улсын дээд шүүхийн тайлбар хуульд харшилбал хуулийг дагаж биелүүлнэ” гэж, Жаран долдугаар зүйлд “Үндсэн хуулийн цэцийн шийдвэр гармагцаа хүчин төгөлдөр болно” гэж тус тус заажээ.</w:t>
      </w:r>
    </w:p>
    <w:p w14:paraId="1AB51AAB" w14:textId="77777777" w:rsidR="00184589" w:rsidRPr="001F1273" w:rsidRDefault="00184589" w:rsidP="004626AE">
      <w:pPr>
        <w:spacing w:after="0" w:line="276" w:lineRule="auto"/>
        <w:ind w:firstLine="720"/>
        <w:jc w:val="both"/>
        <w:rPr>
          <w:rFonts w:ascii="Arial" w:eastAsia="Times New Roman" w:hAnsi="Arial" w:cs="Arial"/>
          <w:color w:val="000000" w:themeColor="text1"/>
          <w:sz w:val="24"/>
          <w:szCs w:val="24"/>
          <w:shd w:val="clear" w:color="auto" w:fill="FFFFFF"/>
          <w:lang w:val="mn-MN"/>
        </w:rPr>
      </w:pPr>
    </w:p>
    <w:p w14:paraId="46018989" w14:textId="77777777" w:rsidR="00446051" w:rsidRDefault="00E8166B" w:rsidP="004626AE">
      <w:pPr>
        <w:spacing w:after="0" w:line="276" w:lineRule="auto"/>
        <w:ind w:firstLine="720"/>
        <w:jc w:val="both"/>
        <w:rPr>
          <w:rFonts w:ascii="Arial" w:hAnsi="Arial" w:cs="Arial"/>
          <w:sz w:val="24"/>
          <w:szCs w:val="24"/>
          <w:lang w:val="mn-MN"/>
        </w:rPr>
      </w:pPr>
      <w:r w:rsidRPr="001F1273">
        <w:rPr>
          <w:rFonts w:ascii="Arial" w:hAnsi="Arial" w:cs="Arial"/>
          <w:sz w:val="24"/>
          <w:szCs w:val="24"/>
          <w:lang w:val="mn-MN"/>
        </w:rPr>
        <w:t xml:space="preserve">Улсын Их Хурлын гишүүний </w:t>
      </w:r>
      <w:r w:rsidR="00DF1774" w:rsidRPr="00DF1774">
        <w:rPr>
          <w:rFonts w:ascii="Arial" w:hAnsi="Arial" w:cs="Arial"/>
          <w:sz w:val="24"/>
          <w:szCs w:val="24"/>
          <w:lang w:val="mn-MN"/>
        </w:rPr>
        <w:t>бүрэн эрхийг хугацаанаас нь өмнө дуусгавар болох</w:t>
      </w:r>
      <w:r w:rsidR="00DF1774">
        <w:rPr>
          <w:rFonts w:ascii="Arial" w:hAnsi="Arial" w:cs="Arial"/>
          <w:sz w:val="24"/>
          <w:szCs w:val="24"/>
          <w:lang w:val="mn-MN"/>
        </w:rPr>
        <w:t xml:space="preserve"> буюу </w:t>
      </w:r>
      <w:r w:rsidRPr="001F1273">
        <w:rPr>
          <w:rFonts w:ascii="Arial" w:hAnsi="Arial" w:cs="Arial"/>
          <w:sz w:val="24"/>
          <w:szCs w:val="24"/>
          <w:lang w:val="mn-MN"/>
        </w:rPr>
        <w:t xml:space="preserve">эгүүлэн татах үндэслэлийг тодорхой болгох явдал сүүлийн үед олны анхаарлыг татах боллоо. Монгол Улсын Их Хурлын тухай хуулийн Гишүүний бүрэн эрх хугацаанаас өмнө дуусвар болох тухай 9 дүгээр зүйлийн 9.1.4 дэх заалтад “Монгол Улсын Үндсэн хуулийн цэц Монгол Улсын Үндсэн хуулийн Жаран зургадугаар зүйлийн 2 дахь хэсгийн 4-т зааснаар гишүүнийг эгүүлэн татах үндэслэлтэй гэсэн дүгнэлт гаргасныг Улсын Их Хурал хүлээн зөвшөөрсөн” хэмээн заасан нь Үндсэн хуулийн Жаран долдугаар зүйлийн “Үндсэн хуулийн цэцийн шийдвэр гармагцаа хүчин төгөлдөр болно” гэсэн заалттай зөрчилдөж, энэ шийдвэрийг Улсын Их Хурал хүлээн зөвшөөрөх эсэх тухай асуудлыг тавихаар болжээ. </w:t>
      </w:r>
    </w:p>
    <w:p w14:paraId="3BD8B6C6" w14:textId="77777777" w:rsidR="00446051" w:rsidRDefault="00446051" w:rsidP="004626AE">
      <w:pPr>
        <w:spacing w:after="0" w:line="276" w:lineRule="auto"/>
        <w:ind w:firstLine="720"/>
        <w:jc w:val="both"/>
        <w:rPr>
          <w:rFonts w:ascii="Arial" w:hAnsi="Arial" w:cs="Arial"/>
          <w:sz w:val="24"/>
          <w:szCs w:val="24"/>
          <w:lang w:val="mn-MN"/>
        </w:rPr>
      </w:pPr>
    </w:p>
    <w:p w14:paraId="5F28720A" w14:textId="44062C27" w:rsidR="00446051" w:rsidRDefault="00446051" w:rsidP="004626AE">
      <w:pPr>
        <w:spacing w:after="0" w:line="276" w:lineRule="auto"/>
        <w:ind w:firstLine="720"/>
        <w:jc w:val="both"/>
        <w:rPr>
          <w:rFonts w:ascii="Arial" w:hAnsi="Arial" w:cs="Arial"/>
          <w:sz w:val="24"/>
          <w:szCs w:val="24"/>
          <w:lang w:val="mn-MN"/>
        </w:rPr>
      </w:pPr>
      <w:r w:rsidRPr="00446051">
        <w:rPr>
          <w:rFonts w:ascii="Arial" w:hAnsi="Arial" w:cs="Arial"/>
          <w:sz w:val="24"/>
          <w:szCs w:val="24"/>
          <w:lang w:val="mn-MN"/>
        </w:rPr>
        <w:t xml:space="preserve">Улсын Их Хурлын гишүүн Үндсэн хуулийг зөрчсөн нь Үндсэн хуулийн 29 дүгээр зүйлийн 3 дахь хэсэгт зааснаар түүнийг эгүүлэн татах үндэслэл болох бөгөөд Монгол Улсын Их Хурлын тухай хуулийн 9 дүгээр зүйлийн 9.3 дахь хэсэгт энэ тухай гаргасан Үндсэн хуулийн цэцийн дүгнэлтийг “хүлээн зөвшөөрсөн бол түүнийг </w:t>
      </w:r>
      <w:r w:rsidRPr="00446051">
        <w:rPr>
          <w:rFonts w:ascii="Arial" w:hAnsi="Arial" w:cs="Arial"/>
          <w:sz w:val="24"/>
          <w:szCs w:val="24"/>
          <w:lang w:val="mn-MN"/>
        </w:rPr>
        <w:lastRenderedPageBreak/>
        <w:t>эгүүлэн татах эсэх асуудлыг Улсын Их Хурал хэлэлцэн шийдвэрлэнэ” гэжээ. Гэтэл Улсын Их Хурлын гишүүн Үндсэн хууль зөрчсөн тухай асуудлаар гаргасан Үндсэн хуулийн цэцийн шийдвэрийг Үндсэн хуулийн Жаран зургадугаар зүйлийн 3 дахь хэсэгт зааснаар Улсын Их Хурал “хүлээн зөвшөөрөх”, “хэлэлцэн шийдвэрлэх” эрхгүй байгаа бөгөөд Жаран долдугаар зүйлд зааснаар Үндсэн хуулийн цэцийн шийдвэр гармагцаа хүчин төгөлдөр болж Улсын Их Хурлын гишүүнийг эгүүлэн татахаар байна. Энэ асуудлыг Үндсэн хуульд нийцүүлэн хуулийн төсөлд томьёолов.</w:t>
      </w:r>
    </w:p>
    <w:p w14:paraId="3325F73B" w14:textId="77777777" w:rsidR="00446051" w:rsidRDefault="00446051" w:rsidP="004626AE">
      <w:pPr>
        <w:spacing w:after="0" w:line="276" w:lineRule="auto"/>
        <w:ind w:firstLine="720"/>
        <w:jc w:val="both"/>
        <w:rPr>
          <w:rFonts w:ascii="Arial" w:hAnsi="Arial" w:cs="Arial"/>
          <w:sz w:val="24"/>
          <w:szCs w:val="24"/>
          <w:lang w:val="mn-MN"/>
        </w:rPr>
      </w:pPr>
    </w:p>
    <w:p w14:paraId="603F113E" w14:textId="2DABCEB6" w:rsidR="004626AE" w:rsidRPr="001F1273" w:rsidRDefault="00E8166B" w:rsidP="004626AE">
      <w:pPr>
        <w:spacing w:after="0" w:line="276" w:lineRule="auto"/>
        <w:ind w:firstLine="720"/>
        <w:jc w:val="both"/>
        <w:rPr>
          <w:rFonts w:ascii="Arial" w:hAnsi="Arial" w:cs="Arial"/>
          <w:sz w:val="24"/>
          <w:szCs w:val="24"/>
          <w:lang w:val="mn-MN"/>
        </w:rPr>
      </w:pPr>
      <w:r w:rsidRPr="001F1273">
        <w:rPr>
          <w:rFonts w:ascii="Arial" w:hAnsi="Arial" w:cs="Arial"/>
          <w:sz w:val="24"/>
          <w:szCs w:val="24"/>
          <w:lang w:val="mn-MN"/>
        </w:rPr>
        <w:t xml:space="preserve">Мөн зүйлд “Уул гишүүн гэмт хэрэг үйлдсэн гэж шүүх тогтоовол Улсын Их Хурал түүнийг гишүүнээс нь эгүүлэн татна” гэсэн заалтыг шүүхээс хэрхэн хэрэгжүүлэх нь тодорхойгүй байна. </w:t>
      </w:r>
    </w:p>
    <w:p w14:paraId="0FED7476" w14:textId="77777777" w:rsidR="004626AE" w:rsidRPr="001F1273" w:rsidRDefault="004626AE" w:rsidP="004626AE">
      <w:pPr>
        <w:spacing w:after="0" w:line="276" w:lineRule="auto"/>
        <w:ind w:firstLine="720"/>
        <w:jc w:val="both"/>
        <w:rPr>
          <w:rFonts w:ascii="Arial" w:hAnsi="Arial" w:cs="Arial"/>
          <w:sz w:val="24"/>
          <w:szCs w:val="24"/>
          <w:lang w:val="mn-MN"/>
        </w:rPr>
      </w:pPr>
    </w:p>
    <w:p w14:paraId="39F65991" w14:textId="12284633" w:rsidR="00184589" w:rsidRPr="001F1273" w:rsidRDefault="004626AE" w:rsidP="004626AE">
      <w:pPr>
        <w:spacing w:line="276" w:lineRule="auto"/>
        <w:ind w:firstLine="720"/>
        <w:jc w:val="both"/>
        <w:rPr>
          <w:rFonts w:ascii="Arial" w:hAnsi="Arial" w:cs="Arial"/>
          <w:sz w:val="24"/>
          <w:szCs w:val="24"/>
          <w:lang w:val="mn-MN"/>
        </w:rPr>
      </w:pPr>
      <w:r w:rsidRPr="001F1273">
        <w:rPr>
          <w:rFonts w:ascii="Arial" w:hAnsi="Arial" w:cs="Arial"/>
          <w:color w:val="000000" w:themeColor="text1"/>
          <w:sz w:val="24"/>
          <w:szCs w:val="24"/>
          <w:lang w:val="mn-MN"/>
        </w:rPr>
        <w:t>Монгол Улсын Үндсэн хуулийн Гуравдугаар зүйлийн 1 дэх хэсэгт “Монгол Улсад засгийн бүх эрх ард түмний мэдэлд байна. Монголын ард түмэн төрийн үйл хэрэгт шууд оролцож, мөн сонгож байгуулсан төрийн эрх барих төлөөлөгчдийн байгууллагаараа уламжлан энэхүү эрхээ эдэлнэ.” хэмээн заасан. Энэхүү Үндсэн хуулийн зарчим ёсоор иргэд төрийн эрх барих дээд байгууллагын үйл ажиллагаа, ард түмний элчийн хувьд Улсын Их Хурлын гишүүний ёс зүй, сахилга хариуцлагыг дээшлүүлэх цаашлаад сонгож байгуулсан төлөөлөгчдийн байгууллагын гишүүнийг Үндсэн хууль, бусад хууль зөрчсөн тохиолдолд</w:t>
      </w:r>
      <w:r w:rsidRPr="001F1273">
        <w:rPr>
          <w:rFonts w:ascii="Arial" w:hAnsi="Arial" w:cs="Arial"/>
          <w:sz w:val="24"/>
          <w:szCs w:val="24"/>
          <w:lang w:val="mn-MN"/>
        </w:rPr>
        <w:t xml:space="preserve"> бүрэн эрх хугацаанаасаа өмнө дуусгавар болох буюу эгүүлэн татах үндэслэлийг тодорхой болгохыг шаардах болсон.</w:t>
      </w:r>
    </w:p>
    <w:p w14:paraId="5F9F72B7" w14:textId="10155410" w:rsidR="00E8166B" w:rsidRPr="001F1273" w:rsidRDefault="00E8166B" w:rsidP="004626AE">
      <w:pPr>
        <w:spacing w:after="0" w:line="276" w:lineRule="auto"/>
        <w:ind w:firstLine="720"/>
        <w:jc w:val="both"/>
        <w:rPr>
          <w:rFonts w:ascii="Arial" w:hAnsi="Arial" w:cs="Arial"/>
          <w:sz w:val="24"/>
          <w:szCs w:val="24"/>
          <w:lang w:val="mn-MN"/>
        </w:rPr>
      </w:pPr>
      <w:r w:rsidRPr="001F1273">
        <w:rPr>
          <w:rFonts w:ascii="Arial" w:hAnsi="Arial" w:cs="Arial"/>
          <w:sz w:val="24"/>
          <w:szCs w:val="24"/>
          <w:lang w:val="mn-MN"/>
        </w:rPr>
        <w:t xml:space="preserve">Үүнтэй холбоотой Монгол Улсын Их Хурлын тухай хуульд Улсын Их Хурлын </w:t>
      </w:r>
      <w:r w:rsidR="00DF1774" w:rsidRPr="00DF1774">
        <w:rPr>
          <w:rFonts w:ascii="Arial" w:hAnsi="Arial" w:cs="Arial"/>
          <w:sz w:val="24"/>
          <w:szCs w:val="24"/>
          <w:lang w:val="mn-MN"/>
        </w:rPr>
        <w:t>гишүүний бүрэн эрхийг хугацаанаас нь өмнө дуусгавар болох буюу эгүүлэн татах үндэслэлийг</w:t>
      </w:r>
      <w:r w:rsidR="009A7604">
        <w:rPr>
          <w:rFonts w:ascii="Arial" w:hAnsi="Arial" w:cs="Arial"/>
          <w:sz w:val="24"/>
          <w:szCs w:val="24"/>
          <w:lang w:val="mn-MN"/>
        </w:rPr>
        <w:t xml:space="preserve"> </w:t>
      </w:r>
      <w:r w:rsidRPr="001F1273">
        <w:rPr>
          <w:rFonts w:ascii="Arial" w:hAnsi="Arial" w:cs="Arial"/>
          <w:sz w:val="24"/>
          <w:szCs w:val="24"/>
          <w:lang w:val="mn-MN"/>
        </w:rPr>
        <w:t>тодотгох шаардлага тулгамдаж байна. Монгол Улсын Үндэсний аюулгүй байдлын үзэл баримтлалын Үндсэн хуульт байгууллыг бататган бэхжүүлэх тухай 3.3.1 дүгээр зүйлийн 3.3.1.1-т “Монгол Улсын Үндсэн хуулиар тогтоосон төрийн удирдлагын болон байгууламжийн хэлбэр, төрийн эрх мэдлийн хуваарилалт, ардчилал, эрх зүйт ёс, үндэсний эв нэгдлийг хангах зарчмыг тууштай хэрэгжүүлнэ”, 3.3.1.3-т “Төрийн эрх мэдлийг Үндсэн хуулийн бус аргаар авахыг завдсан аливаа оролдлоготой шийдвэртэй тэмцэнэ” гэж тус тус заасан байдаг нь уул баримт бичгийн 1.1.4-т заасан “Хүний эрх, эрх чөлөө, хууль дээдлэх зарчим, парламентын засаглалд суурилсан, нийгмийн тогтвортой байдлыг хангасан ардчилсан төрийн тогтолцоо нь үндэсний аюулгүй байдлыг хангах баталгаа мөн” гэдэг заалтыг хангах чухал арга зам мөн. Иймээс Улсын Их Хурлын гишүүн Үндсэн хуулийг зөрчсөн гэж Үндсэн хуулийн цэц дүгнэсэн болон гэмт хэрэг үйлдсэнийг нь шүүх тогтоосон бол эгүүлэн татаж хууль зүйн болон ёс зүйн хариуцлага хүлээлгэх явдал парламентын ардчиллыг бэхжүүлэх, үндэсний аюулгүй байдлыг хангахад тулгамдсан асуудал болсоор байна.</w:t>
      </w:r>
    </w:p>
    <w:p w14:paraId="01F5E362" w14:textId="77777777" w:rsidR="00E8166B" w:rsidRPr="001F1273" w:rsidRDefault="00E8166B" w:rsidP="004626AE">
      <w:pPr>
        <w:tabs>
          <w:tab w:val="left" w:pos="709"/>
        </w:tabs>
        <w:spacing w:after="0" w:line="276" w:lineRule="auto"/>
        <w:ind w:right="-5"/>
        <w:jc w:val="both"/>
        <w:rPr>
          <w:rFonts w:ascii="Arial" w:hAnsi="Arial" w:cs="Arial"/>
          <w:sz w:val="24"/>
          <w:szCs w:val="24"/>
          <w:lang w:val="mn-MN"/>
        </w:rPr>
      </w:pPr>
    </w:p>
    <w:p w14:paraId="02849E0A" w14:textId="33153C40" w:rsidR="00E8166B" w:rsidRPr="001F1273" w:rsidRDefault="00E8166B" w:rsidP="004626AE">
      <w:pPr>
        <w:spacing w:after="0" w:line="276" w:lineRule="auto"/>
        <w:ind w:firstLine="720"/>
        <w:jc w:val="both"/>
        <w:rPr>
          <w:rFonts w:ascii="Arial" w:hAnsi="Arial" w:cs="Arial"/>
          <w:sz w:val="24"/>
          <w:szCs w:val="24"/>
          <w:lang w:val="mn-MN"/>
        </w:rPr>
      </w:pPr>
      <w:r w:rsidRPr="001F1273">
        <w:rPr>
          <w:rFonts w:ascii="Arial" w:hAnsi="Arial" w:cs="Arial"/>
          <w:sz w:val="24"/>
          <w:szCs w:val="24"/>
          <w:lang w:val="mn-MN"/>
        </w:rPr>
        <w:t xml:space="preserve">Энэхүү хуулийн төслийн зорилго нь </w:t>
      </w:r>
      <w:r w:rsidRPr="001F1273">
        <w:rPr>
          <w:rFonts w:ascii="Arial" w:eastAsia="Arial" w:hAnsi="Arial" w:cs="Arial"/>
          <w:sz w:val="24"/>
          <w:szCs w:val="24"/>
          <w:lang w:val="mn-MN"/>
        </w:rPr>
        <w:t xml:space="preserve">өргөсөн тангаргаасаа няцсан, ард түмний элчийн хувьд төлөөлөх, хууль тогтоох чиг үүргийг хэрэгжүүлэхдээ Улсын Их Хурлын ээлжит чуулганы хуралдааны </w:t>
      </w:r>
      <w:r w:rsidR="0087753D">
        <w:rPr>
          <w:rFonts w:ascii="Arial" w:eastAsia="Arial" w:hAnsi="Arial" w:cs="Arial"/>
          <w:sz w:val="24"/>
          <w:szCs w:val="24"/>
          <w:lang w:val="mn-MN"/>
        </w:rPr>
        <w:t>50</w:t>
      </w:r>
      <w:r w:rsidR="00BC277A">
        <w:rPr>
          <w:rFonts w:ascii="Arial" w:eastAsia="Arial" w:hAnsi="Arial" w:cs="Arial"/>
          <w:sz w:val="24"/>
          <w:szCs w:val="24"/>
          <w:lang w:val="mn-MN"/>
        </w:rPr>
        <w:t>-</w:t>
      </w:r>
      <w:r w:rsidR="0087753D">
        <w:rPr>
          <w:rFonts w:ascii="Arial" w:eastAsia="Arial" w:hAnsi="Arial" w:cs="Arial"/>
          <w:sz w:val="24"/>
          <w:szCs w:val="24"/>
          <w:lang w:val="mn-MN"/>
        </w:rPr>
        <w:t>и</w:t>
      </w:r>
      <w:r w:rsidR="00BC277A">
        <w:rPr>
          <w:rFonts w:ascii="Arial" w:eastAsia="Arial" w:hAnsi="Arial" w:cs="Arial"/>
          <w:sz w:val="24"/>
          <w:szCs w:val="24"/>
          <w:lang w:val="mn-MN"/>
        </w:rPr>
        <w:t>ас</w:t>
      </w:r>
      <w:r w:rsidRPr="001F1273">
        <w:rPr>
          <w:rFonts w:ascii="Arial" w:eastAsia="Arial" w:hAnsi="Arial" w:cs="Arial"/>
          <w:sz w:val="24"/>
          <w:szCs w:val="24"/>
          <w:lang w:val="mn-MN"/>
        </w:rPr>
        <w:t xml:space="preserve"> </w:t>
      </w:r>
      <w:r w:rsidR="00BC277A">
        <w:rPr>
          <w:rFonts w:ascii="Arial" w:eastAsia="Arial" w:hAnsi="Arial" w:cs="Arial"/>
          <w:sz w:val="24"/>
          <w:szCs w:val="24"/>
          <w:lang w:val="mn-MN"/>
        </w:rPr>
        <w:t>доошгүй</w:t>
      </w:r>
      <w:r w:rsidRPr="001F1273">
        <w:rPr>
          <w:rFonts w:ascii="Arial" w:eastAsia="Arial" w:hAnsi="Arial" w:cs="Arial"/>
          <w:sz w:val="24"/>
          <w:szCs w:val="24"/>
          <w:lang w:val="mn-MN"/>
        </w:rPr>
        <w:t xml:space="preserve"> хувьд хүрэлцэн ирээгүй болон санал хураалтад биечлэн оролцоогүй, гишүүний ёс зүйн дүрмийг ноцтой </w:t>
      </w:r>
      <w:r w:rsidR="00C11600">
        <w:rPr>
          <w:rFonts w:ascii="Arial" w:eastAsia="Arial" w:hAnsi="Arial" w:cs="Arial"/>
          <w:sz w:val="24"/>
          <w:szCs w:val="24"/>
          <w:lang w:val="mn-MN"/>
        </w:rPr>
        <w:t>болон</w:t>
      </w:r>
      <w:r w:rsidRPr="001F1273">
        <w:rPr>
          <w:rFonts w:ascii="Arial" w:eastAsia="Arial" w:hAnsi="Arial" w:cs="Arial"/>
          <w:sz w:val="24"/>
          <w:szCs w:val="24"/>
          <w:lang w:val="mn-MN"/>
        </w:rPr>
        <w:t xml:space="preserve"> удаа дараа зөрчсөн У</w:t>
      </w:r>
      <w:r w:rsidRPr="001F1273">
        <w:rPr>
          <w:rFonts w:ascii="Arial" w:hAnsi="Arial" w:cs="Arial"/>
          <w:sz w:val="24"/>
          <w:szCs w:val="24"/>
          <w:lang w:val="mn-MN"/>
        </w:rPr>
        <w:t xml:space="preserve">лсын Их Хурлын гишүүнийг эгүүлэн татаж хууль зүйн хариуцлагыг </w:t>
      </w:r>
      <w:r w:rsidRPr="001F1273">
        <w:rPr>
          <w:rFonts w:ascii="Arial" w:hAnsi="Arial" w:cs="Arial"/>
          <w:sz w:val="24"/>
          <w:szCs w:val="24"/>
          <w:lang w:val="mn-MN"/>
        </w:rPr>
        <w:lastRenderedPageBreak/>
        <w:t>тодорхой, ил тод, үр нөлөөтэй болгох замаар Үндсэн хуульт байгууллыг бататган бэхжүүлэх, үндэсний аюулгүй байдлыг хангахад оршино.</w:t>
      </w:r>
    </w:p>
    <w:p w14:paraId="622E1503" w14:textId="77777777" w:rsidR="00184589" w:rsidRPr="001F1273" w:rsidRDefault="00184589" w:rsidP="003D4AF0">
      <w:pPr>
        <w:spacing w:after="0" w:line="276" w:lineRule="auto"/>
        <w:ind w:right="49"/>
        <w:jc w:val="both"/>
        <w:rPr>
          <w:rFonts w:ascii="Arial" w:eastAsia="Arial" w:hAnsi="Arial" w:cs="Arial"/>
          <w:sz w:val="24"/>
          <w:szCs w:val="24"/>
          <w:lang w:val="mn-MN"/>
        </w:rPr>
      </w:pPr>
    </w:p>
    <w:p w14:paraId="5CAC3B43" w14:textId="46586681" w:rsidR="00A25BA4" w:rsidRPr="001F1273" w:rsidRDefault="00A25BA4" w:rsidP="004626AE">
      <w:pPr>
        <w:spacing w:after="0" w:line="276" w:lineRule="auto"/>
        <w:ind w:right="49" w:firstLine="567"/>
        <w:jc w:val="both"/>
        <w:rPr>
          <w:rFonts w:ascii="Arial" w:eastAsia="Arial" w:hAnsi="Arial" w:cs="Arial"/>
          <w:sz w:val="24"/>
          <w:szCs w:val="24"/>
          <w:lang w:val="mn-MN"/>
        </w:rPr>
      </w:pPr>
      <w:r w:rsidRPr="001F1273">
        <w:rPr>
          <w:rFonts w:ascii="Arial" w:hAnsi="Arial" w:cs="Arial"/>
          <w:sz w:val="24"/>
          <w:szCs w:val="24"/>
          <w:lang w:val="mn-MN"/>
        </w:rPr>
        <w:t>Хуулийн төсөл батлагдсанаар Улсын Их Хурлын гишүүн ардчилсан ёсны зарчмын дагуу ард түмнээс олгосон мандатыг хүндэтгэхийн сацуу Үндсэн хууль зөрчсөн, гэмт хэрэг үйлдсэн, ёс зүйн ноцтой зөрчил гаргасан тохиолдолд эгүүлэн татах тухай Үндсэн хуулийн зохицуулалтыг амьдралд хэрэгжүүлэх, парламентын засаглалыг бэхжүүлэх, улс төрийн намыг хариуцлагатай болгох, төрийн үйл ажиллагааны тэгш байдал, хууль дээдлэх зарчмыг хангахад эерэг нөлөө үзүүлнэ.</w:t>
      </w:r>
    </w:p>
    <w:p w14:paraId="4B13BA35" w14:textId="77777777" w:rsidR="00A25BA4" w:rsidRPr="001F1273" w:rsidRDefault="00A25BA4" w:rsidP="004626AE">
      <w:pPr>
        <w:spacing w:after="0" w:line="276" w:lineRule="auto"/>
        <w:ind w:right="49" w:firstLine="567"/>
        <w:jc w:val="both"/>
        <w:rPr>
          <w:rFonts w:ascii="Arial" w:eastAsia="Arial" w:hAnsi="Arial" w:cs="Arial"/>
          <w:sz w:val="24"/>
          <w:szCs w:val="24"/>
          <w:lang w:val="mn-MN"/>
        </w:rPr>
      </w:pPr>
    </w:p>
    <w:p w14:paraId="6F8775A2" w14:textId="27719200" w:rsidR="00B13DF2" w:rsidRPr="001F1273" w:rsidRDefault="00E8166B" w:rsidP="004626AE">
      <w:pPr>
        <w:spacing w:after="0" w:line="276" w:lineRule="auto"/>
        <w:ind w:right="49" w:firstLine="567"/>
        <w:jc w:val="both"/>
        <w:rPr>
          <w:rFonts w:ascii="Arial" w:eastAsia="Arial" w:hAnsi="Arial" w:cs="Arial"/>
          <w:sz w:val="24"/>
          <w:szCs w:val="24"/>
          <w:lang w:val="mn-MN"/>
        </w:rPr>
      </w:pPr>
      <w:r w:rsidRPr="001F1273">
        <w:rPr>
          <w:rFonts w:ascii="Arial" w:eastAsia="Arial" w:hAnsi="Arial" w:cs="Arial"/>
          <w:sz w:val="24"/>
          <w:szCs w:val="24"/>
          <w:lang w:val="mn-MN"/>
        </w:rPr>
        <w:t xml:space="preserve">Хуулийн төсөл батлагдсантай холбоотойгоор “Монгол Улсын Их Хурлын тухай хуульд нэмэлт, өөрчлөлт оруулсантай холбогдуулан авах зарим арга хэмжээний тухай </w:t>
      </w:r>
      <w:r w:rsidR="00B13DF2" w:rsidRPr="001F1273">
        <w:rPr>
          <w:rFonts w:ascii="Arial" w:hAnsi="Arial" w:cs="Arial"/>
          <w:sz w:val="24"/>
          <w:szCs w:val="24"/>
          <w:lang w:val="mn-MN"/>
        </w:rPr>
        <w:t>Улсын Их Хурлын тогтоолын төслийг тус тус боловсруул</w:t>
      </w:r>
      <w:r w:rsidR="00CE5AA8" w:rsidRPr="001F1273">
        <w:rPr>
          <w:rFonts w:ascii="Arial" w:hAnsi="Arial" w:cs="Arial"/>
          <w:sz w:val="24"/>
          <w:szCs w:val="24"/>
          <w:lang w:val="mn-MN"/>
        </w:rPr>
        <w:t>сан.</w:t>
      </w:r>
    </w:p>
    <w:p w14:paraId="3AB8CA9A" w14:textId="77777777" w:rsidR="00B13DF2" w:rsidRPr="001F1273" w:rsidRDefault="00B13DF2" w:rsidP="004626AE">
      <w:pPr>
        <w:pStyle w:val="ListParagraph"/>
        <w:spacing w:line="276" w:lineRule="auto"/>
        <w:ind w:left="990"/>
        <w:jc w:val="both"/>
        <w:rPr>
          <w:rFonts w:ascii="Arial" w:hAnsi="Arial" w:cs="Arial"/>
          <w:b/>
          <w:lang w:val="mn-MN"/>
        </w:rPr>
      </w:pPr>
    </w:p>
    <w:p w14:paraId="5E414E6F" w14:textId="77777777" w:rsidR="00B13DF2" w:rsidRPr="001F1273" w:rsidRDefault="00B13DF2" w:rsidP="004626AE">
      <w:pPr>
        <w:pStyle w:val="ListParagraph"/>
        <w:spacing w:line="276" w:lineRule="auto"/>
        <w:ind w:left="0"/>
        <w:jc w:val="center"/>
        <w:rPr>
          <w:rFonts w:ascii="Arial" w:hAnsi="Arial" w:cs="Arial"/>
          <w:lang w:val="mn-MN"/>
        </w:rPr>
      </w:pPr>
      <w:r w:rsidRPr="001F1273">
        <w:rPr>
          <w:rFonts w:ascii="Arial" w:hAnsi="Arial" w:cs="Arial"/>
          <w:lang w:val="mn-MN"/>
        </w:rPr>
        <w:t>---o0o---</w:t>
      </w:r>
    </w:p>
    <w:p w14:paraId="0A6AE606" w14:textId="77777777" w:rsidR="009801EB" w:rsidRPr="001F1273" w:rsidRDefault="009801EB" w:rsidP="004626AE">
      <w:pPr>
        <w:spacing w:after="0" w:line="276" w:lineRule="auto"/>
        <w:ind w:left="66"/>
        <w:jc w:val="both"/>
        <w:rPr>
          <w:rFonts w:ascii="Arial" w:eastAsia="Verdana" w:hAnsi="Arial" w:cs="Arial"/>
          <w:bCs/>
          <w:sz w:val="24"/>
          <w:szCs w:val="24"/>
          <w:shd w:val="clear" w:color="auto" w:fill="FFFFFF"/>
          <w:lang w:val="mn-MN"/>
        </w:rPr>
      </w:pPr>
    </w:p>
    <w:sectPr w:rsidR="009801EB" w:rsidRPr="001F1273" w:rsidSect="006E7B26">
      <w:footerReference w:type="default" r:id="rId7"/>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4B69F" w14:textId="77777777" w:rsidR="00B93F70" w:rsidRDefault="00B93F70" w:rsidP="001015AE">
      <w:pPr>
        <w:spacing w:after="0" w:line="240" w:lineRule="auto"/>
      </w:pPr>
      <w:r>
        <w:separator/>
      </w:r>
    </w:p>
  </w:endnote>
  <w:endnote w:type="continuationSeparator" w:id="0">
    <w:p w14:paraId="255005FC" w14:textId="77777777" w:rsidR="00B93F70" w:rsidRDefault="00B93F70" w:rsidP="00101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Mon">
    <w:charset w:val="00"/>
    <w:family w:val="swiss"/>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969975923"/>
      <w:docPartObj>
        <w:docPartGallery w:val="Page Numbers (Bottom of Page)"/>
        <w:docPartUnique/>
      </w:docPartObj>
    </w:sdtPr>
    <w:sdtEndPr>
      <w:rPr>
        <w:noProof/>
      </w:rPr>
    </w:sdtEndPr>
    <w:sdtContent>
      <w:p w14:paraId="50E48D2B" w14:textId="0F53BDC8" w:rsidR="007F438C" w:rsidRPr="00D25DE3" w:rsidRDefault="007F438C">
        <w:pPr>
          <w:pStyle w:val="Footer"/>
          <w:jc w:val="center"/>
          <w:rPr>
            <w:rFonts w:ascii="Arial" w:hAnsi="Arial" w:cs="Arial"/>
            <w:sz w:val="24"/>
            <w:szCs w:val="24"/>
          </w:rPr>
        </w:pPr>
        <w:r w:rsidRPr="00D25DE3">
          <w:rPr>
            <w:rFonts w:ascii="Arial" w:hAnsi="Arial" w:cs="Arial"/>
            <w:sz w:val="24"/>
            <w:szCs w:val="24"/>
          </w:rPr>
          <w:fldChar w:fldCharType="begin"/>
        </w:r>
        <w:r w:rsidRPr="00D25DE3">
          <w:rPr>
            <w:rFonts w:ascii="Arial" w:hAnsi="Arial" w:cs="Arial"/>
            <w:sz w:val="24"/>
            <w:szCs w:val="24"/>
          </w:rPr>
          <w:instrText xml:space="preserve"> PAGE   \* MERGEFORMAT </w:instrText>
        </w:r>
        <w:r w:rsidRPr="00D25DE3">
          <w:rPr>
            <w:rFonts w:ascii="Arial" w:hAnsi="Arial" w:cs="Arial"/>
            <w:sz w:val="24"/>
            <w:szCs w:val="24"/>
          </w:rPr>
          <w:fldChar w:fldCharType="separate"/>
        </w:r>
        <w:r w:rsidR="00A06E5C" w:rsidRPr="00D25DE3">
          <w:rPr>
            <w:rFonts w:ascii="Arial" w:hAnsi="Arial" w:cs="Arial"/>
            <w:noProof/>
            <w:sz w:val="24"/>
            <w:szCs w:val="24"/>
          </w:rPr>
          <w:t>4</w:t>
        </w:r>
        <w:r w:rsidRPr="00D25DE3">
          <w:rPr>
            <w:rFonts w:ascii="Arial" w:hAnsi="Arial" w:cs="Arial"/>
            <w:noProof/>
            <w:sz w:val="24"/>
            <w:szCs w:val="24"/>
          </w:rPr>
          <w:fldChar w:fldCharType="end"/>
        </w:r>
      </w:p>
    </w:sdtContent>
  </w:sdt>
  <w:p w14:paraId="6B087EC3" w14:textId="77777777" w:rsidR="007F438C" w:rsidRDefault="007F4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49718" w14:textId="77777777" w:rsidR="00B93F70" w:rsidRDefault="00B93F70" w:rsidP="001015AE">
      <w:pPr>
        <w:spacing w:after="0" w:line="240" w:lineRule="auto"/>
      </w:pPr>
      <w:r>
        <w:separator/>
      </w:r>
    </w:p>
  </w:footnote>
  <w:footnote w:type="continuationSeparator" w:id="0">
    <w:p w14:paraId="0497E4B5" w14:textId="77777777" w:rsidR="00B93F70" w:rsidRDefault="00B93F70" w:rsidP="001015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D327FE6"/>
    <w:lvl w:ilvl="0">
      <w:start w:val="1"/>
      <w:numFmt w:val="decimal"/>
      <w:pStyle w:val="ListNumber"/>
      <w:lvlText w:val="%1."/>
      <w:lvlJc w:val="left"/>
      <w:pPr>
        <w:tabs>
          <w:tab w:val="num" w:pos="360"/>
        </w:tabs>
        <w:ind w:left="360" w:hanging="360"/>
      </w:pPr>
    </w:lvl>
  </w:abstractNum>
  <w:abstractNum w:abstractNumId="1" w15:restartNumberingAfterBreak="0">
    <w:nsid w:val="0CB943DE"/>
    <w:multiLevelType w:val="hybridMultilevel"/>
    <w:tmpl w:val="A69E771C"/>
    <w:lvl w:ilvl="0" w:tplc="9E826E66">
      <w:start w:val="1"/>
      <w:numFmt w:val="bullet"/>
      <w:lvlText w:val="-"/>
      <w:lvlJc w:val="left"/>
      <w:pPr>
        <w:ind w:left="1620" w:hanging="360"/>
      </w:pPr>
      <w:rPr>
        <w:rFonts w:ascii="Arial" w:eastAsiaTheme="minorHAnsi" w:hAnsi="Arial" w:cs="Arial" w:hint="default"/>
      </w:rPr>
    </w:lvl>
    <w:lvl w:ilvl="1" w:tplc="04090003" w:tentative="1">
      <w:start w:val="1"/>
      <w:numFmt w:val="bullet"/>
      <w:lvlText w:val="o"/>
      <w:lvlJc w:val="left"/>
      <w:pPr>
        <w:ind w:left="1719" w:hanging="360"/>
      </w:pPr>
      <w:rPr>
        <w:rFonts w:ascii="Courier New" w:hAnsi="Courier New" w:cs="Courier New" w:hint="default"/>
      </w:rPr>
    </w:lvl>
    <w:lvl w:ilvl="2" w:tplc="04090005" w:tentative="1">
      <w:start w:val="1"/>
      <w:numFmt w:val="bullet"/>
      <w:lvlText w:val=""/>
      <w:lvlJc w:val="left"/>
      <w:pPr>
        <w:ind w:left="2439" w:hanging="360"/>
      </w:pPr>
      <w:rPr>
        <w:rFonts w:ascii="Wingdings" w:hAnsi="Wingdings" w:hint="default"/>
      </w:rPr>
    </w:lvl>
    <w:lvl w:ilvl="3" w:tplc="04090001" w:tentative="1">
      <w:start w:val="1"/>
      <w:numFmt w:val="bullet"/>
      <w:lvlText w:val=""/>
      <w:lvlJc w:val="left"/>
      <w:pPr>
        <w:ind w:left="3159" w:hanging="360"/>
      </w:pPr>
      <w:rPr>
        <w:rFonts w:ascii="Symbol" w:hAnsi="Symbol" w:hint="default"/>
      </w:rPr>
    </w:lvl>
    <w:lvl w:ilvl="4" w:tplc="04090003" w:tentative="1">
      <w:start w:val="1"/>
      <w:numFmt w:val="bullet"/>
      <w:lvlText w:val="o"/>
      <w:lvlJc w:val="left"/>
      <w:pPr>
        <w:ind w:left="3879" w:hanging="360"/>
      </w:pPr>
      <w:rPr>
        <w:rFonts w:ascii="Courier New" w:hAnsi="Courier New" w:cs="Courier New" w:hint="default"/>
      </w:rPr>
    </w:lvl>
    <w:lvl w:ilvl="5" w:tplc="04090005" w:tentative="1">
      <w:start w:val="1"/>
      <w:numFmt w:val="bullet"/>
      <w:lvlText w:val=""/>
      <w:lvlJc w:val="left"/>
      <w:pPr>
        <w:ind w:left="4599" w:hanging="360"/>
      </w:pPr>
      <w:rPr>
        <w:rFonts w:ascii="Wingdings" w:hAnsi="Wingdings" w:hint="default"/>
      </w:rPr>
    </w:lvl>
    <w:lvl w:ilvl="6" w:tplc="04090001" w:tentative="1">
      <w:start w:val="1"/>
      <w:numFmt w:val="bullet"/>
      <w:lvlText w:val=""/>
      <w:lvlJc w:val="left"/>
      <w:pPr>
        <w:ind w:left="5319" w:hanging="360"/>
      </w:pPr>
      <w:rPr>
        <w:rFonts w:ascii="Symbol" w:hAnsi="Symbol" w:hint="default"/>
      </w:rPr>
    </w:lvl>
    <w:lvl w:ilvl="7" w:tplc="04090003" w:tentative="1">
      <w:start w:val="1"/>
      <w:numFmt w:val="bullet"/>
      <w:lvlText w:val="o"/>
      <w:lvlJc w:val="left"/>
      <w:pPr>
        <w:ind w:left="6039" w:hanging="360"/>
      </w:pPr>
      <w:rPr>
        <w:rFonts w:ascii="Courier New" w:hAnsi="Courier New" w:cs="Courier New" w:hint="default"/>
      </w:rPr>
    </w:lvl>
    <w:lvl w:ilvl="8" w:tplc="04090005" w:tentative="1">
      <w:start w:val="1"/>
      <w:numFmt w:val="bullet"/>
      <w:lvlText w:val=""/>
      <w:lvlJc w:val="left"/>
      <w:pPr>
        <w:ind w:left="6759" w:hanging="360"/>
      </w:pPr>
      <w:rPr>
        <w:rFonts w:ascii="Wingdings" w:hAnsi="Wingdings" w:hint="default"/>
      </w:rPr>
    </w:lvl>
  </w:abstractNum>
  <w:abstractNum w:abstractNumId="2" w15:restartNumberingAfterBreak="0">
    <w:nsid w:val="122C6125"/>
    <w:multiLevelType w:val="hybridMultilevel"/>
    <w:tmpl w:val="4B5CA10A"/>
    <w:lvl w:ilvl="0" w:tplc="D4C8BA70">
      <w:start w:val="1"/>
      <w:numFmt w:val="bullet"/>
      <w:lvlText w:val="-"/>
      <w:lvlJc w:val="left"/>
      <w:pPr>
        <w:ind w:left="990" w:hanging="360"/>
      </w:pPr>
      <w:rPr>
        <w:rFonts w:ascii="Arial" w:eastAsia="Calibri" w:hAnsi="Arial" w:cs="Arial" w:hint="default"/>
        <w:color w:val="000000"/>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2F016798"/>
    <w:multiLevelType w:val="hybridMultilevel"/>
    <w:tmpl w:val="E1066512"/>
    <w:lvl w:ilvl="0" w:tplc="D4C8BA70">
      <w:start w:val="1"/>
      <w:numFmt w:val="bullet"/>
      <w:lvlText w:val="-"/>
      <w:lvlJc w:val="left"/>
      <w:pPr>
        <w:ind w:left="720" w:hanging="360"/>
      </w:pPr>
      <w:rPr>
        <w:rFonts w:ascii="Arial" w:eastAsia="Calibri"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74555E"/>
    <w:multiLevelType w:val="hybridMultilevel"/>
    <w:tmpl w:val="58DA0A6E"/>
    <w:lvl w:ilvl="0" w:tplc="44EA4C5E">
      <w:start w:val="5"/>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3997374">
    <w:abstractNumId w:val="4"/>
  </w:num>
  <w:num w:numId="2" w16cid:durableId="1461655246">
    <w:abstractNumId w:val="3"/>
  </w:num>
  <w:num w:numId="3" w16cid:durableId="423647423">
    <w:abstractNumId w:val="2"/>
  </w:num>
  <w:num w:numId="4" w16cid:durableId="28528530">
    <w:abstractNumId w:val="0"/>
  </w:num>
  <w:num w:numId="5" w16cid:durableId="478037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09B"/>
    <w:rsid w:val="000065C0"/>
    <w:rsid w:val="00017569"/>
    <w:rsid w:val="0004262B"/>
    <w:rsid w:val="000506E4"/>
    <w:rsid w:val="0008359F"/>
    <w:rsid w:val="000A6A03"/>
    <w:rsid w:val="000E7BC6"/>
    <w:rsid w:val="001015AE"/>
    <w:rsid w:val="0011023E"/>
    <w:rsid w:val="0012511A"/>
    <w:rsid w:val="00153A6C"/>
    <w:rsid w:val="00184589"/>
    <w:rsid w:val="001C7FD2"/>
    <w:rsid w:val="001F1273"/>
    <w:rsid w:val="0020583F"/>
    <w:rsid w:val="00223562"/>
    <w:rsid w:val="002251D8"/>
    <w:rsid w:val="00233C77"/>
    <w:rsid w:val="002414BF"/>
    <w:rsid w:val="002963E6"/>
    <w:rsid w:val="00296ABC"/>
    <w:rsid w:val="002A077C"/>
    <w:rsid w:val="002C7EC1"/>
    <w:rsid w:val="002D5859"/>
    <w:rsid w:val="002E1717"/>
    <w:rsid w:val="0031250E"/>
    <w:rsid w:val="003B7681"/>
    <w:rsid w:val="003C07E8"/>
    <w:rsid w:val="003C51DA"/>
    <w:rsid w:val="003C6D13"/>
    <w:rsid w:val="003D4AF0"/>
    <w:rsid w:val="003E1B49"/>
    <w:rsid w:val="003E74BD"/>
    <w:rsid w:val="003F16B0"/>
    <w:rsid w:val="0041338A"/>
    <w:rsid w:val="00422B71"/>
    <w:rsid w:val="00440662"/>
    <w:rsid w:val="00446051"/>
    <w:rsid w:val="00446D9F"/>
    <w:rsid w:val="00447D56"/>
    <w:rsid w:val="004626AE"/>
    <w:rsid w:val="00491844"/>
    <w:rsid w:val="004A3AED"/>
    <w:rsid w:val="004B7EBC"/>
    <w:rsid w:val="004C4017"/>
    <w:rsid w:val="004D79F8"/>
    <w:rsid w:val="004F0D90"/>
    <w:rsid w:val="005242A2"/>
    <w:rsid w:val="00530051"/>
    <w:rsid w:val="00544A49"/>
    <w:rsid w:val="00575795"/>
    <w:rsid w:val="005B5BEC"/>
    <w:rsid w:val="005B6AD5"/>
    <w:rsid w:val="005B77BC"/>
    <w:rsid w:val="005C2980"/>
    <w:rsid w:val="005C4476"/>
    <w:rsid w:val="00657160"/>
    <w:rsid w:val="006803F8"/>
    <w:rsid w:val="0068737C"/>
    <w:rsid w:val="00692AD4"/>
    <w:rsid w:val="006A190A"/>
    <w:rsid w:val="006D78F2"/>
    <w:rsid w:val="006E14D9"/>
    <w:rsid w:val="006E7B26"/>
    <w:rsid w:val="00707B2F"/>
    <w:rsid w:val="0071040F"/>
    <w:rsid w:val="0073309B"/>
    <w:rsid w:val="007360B2"/>
    <w:rsid w:val="00741F13"/>
    <w:rsid w:val="00757FEE"/>
    <w:rsid w:val="007610E3"/>
    <w:rsid w:val="00773A36"/>
    <w:rsid w:val="007832F0"/>
    <w:rsid w:val="007C3BCE"/>
    <w:rsid w:val="007D37CA"/>
    <w:rsid w:val="007E328B"/>
    <w:rsid w:val="007F438C"/>
    <w:rsid w:val="007F7722"/>
    <w:rsid w:val="008211C2"/>
    <w:rsid w:val="0082269A"/>
    <w:rsid w:val="0087753D"/>
    <w:rsid w:val="0088257E"/>
    <w:rsid w:val="008C22DD"/>
    <w:rsid w:val="008D7E1C"/>
    <w:rsid w:val="00903ED4"/>
    <w:rsid w:val="00946906"/>
    <w:rsid w:val="00972444"/>
    <w:rsid w:val="00972917"/>
    <w:rsid w:val="00975387"/>
    <w:rsid w:val="009801EB"/>
    <w:rsid w:val="009A7604"/>
    <w:rsid w:val="009A7EF3"/>
    <w:rsid w:val="009D545F"/>
    <w:rsid w:val="009D6927"/>
    <w:rsid w:val="009E419A"/>
    <w:rsid w:val="00A06E5C"/>
    <w:rsid w:val="00A23D74"/>
    <w:rsid w:val="00A25BA4"/>
    <w:rsid w:val="00A46F06"/>
    <w:rsid w:val="00A53D22"/>
    <w:rsid w:val="00A72E29"/>
    <w:rsid w:val="00A80725"/>
    <w:rsid w:val="00A97895"/>
    <w:rsid w:val="00AD3CDB"/>
    <w:rsid w:val="00B13DF2"/>
    <w:rsid w:val="00B26405"/>
    <w:rsid w:val="00B30B73"/>
    <w:rsid w:val="00B4299A"/>
    <w:rsid w:val="00B74916"/>
    <w:rsid w:val="00B93F70"/>
    <w:rsid w:val="00B97981"/>
    <w:rsid w:val="00BB4C89"/>
    <w:rsid w:val="00BC277A"/>
    <w:rsid w:val="00BE638A"/>
    <w:rsid w:val="00C009CC"/>
    <w:rsid w:val="00C11600"/>
    <w:rsid w:val="00C17EB1"/>
    <w:rsid w:val="00C247DE"/>
    <w:rsid w:val="00C37993"/>
    <w:rsid w:val="00C4598A"/>
    <w:rsid w:val="00C55F42"/>
    <w:rsid w:val="00C56E99"/>
    <w:rsid w:val="00CC373D"/>
    <w:rsid w:val="00CE5AA8"/>
    <w:rsid w:val="00D071D7"/>
    <w:rsid w:val="00D25DE3"/>
    <w:rsid w:val="00D30C3F"/>
    <w:rsid w:val="00D30D12"/>
    <w:rsid w:val="00D84FD2"/>
    <w:rsid w:val="00D93942"/>
    <w:rsid w:val="00DA5588"/>
    <w:rsid w:val="00DE2CA1"/>
    <w:rsid w:val="00DE4B92"/>
    <w:rsid w:val="00DF1774"/>
    <w:rsid w:val="00DF224F"/>
    <w:rsid w:val="00E01C20"/>
    <w:rsid w:val="00E21CCC"/>
    <w:rsid w:val="00E2330C"/>
    <w:rsid w:val="00E40957"/>
    <w:rsid w:val="00E51450"/>
    <w:rsid w:val="00E721F6"/>
    <w:rsid w:val="00E8166B"/>
    <w:rsid w:val="00EB2AD7"/>
    <w:rsid w:val="00EB5C29"/>
    <w:rsid w:val="00EB76F9"/>
    <w:rsid w:val="00EE16D8"/>
    <w:rsid w:val="00EE3488"/>
    <w:rsid w:val="00F06A98"/>
    <w:rsid w:val="00F13FA1"/>
    <w:rsid w:val="00F228E4"/>
    <w:rsid w:val="00F331AB"/>
    <w:rsid w:val="00F7423C"/>
    <w:rsid w:val="00F765F4"/>
    <w:rsid w:val="00F8515E"/>
    <w:rsid w:val="00F86584"/>
    <w:rsid w:val="00F87454"/>
    <w:rsid w:val="00F92942"/>
    <w:rsid w:val="00F97ACF"/>
    <w:rsid w:val="00FA7688"/>
    <w:rsid w:val="00FB2848"/>
    <w:rsid w:val="00FC4EAC"/>
    <w:rsid w:val="00FD7B74"/>
    <w:rsid w:val="00FF16B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0D0C6"/>
  <w15:chartTrackingRefBased/>
  <w15:docId w15:val="{F2AED057-9A96-44FD-86F1-8E146669D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9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BL List Paragraph,List Paragraph1,Bullets,Heading Number,Дэд гарчиг,Numbered Paragraph,Гарчиг1,Bullet,Apex - List Paragraph,Recommendation,List Paragraph11,Bulleted List Paragraph,AusAID List Paragraph,ADB paragraph numbering,列出段落3,列出段落1"/>
    <w:basedOn w:val="Normal"/>
    <w:link w:val="ListParagraphChar"/>
    <w:uiPriority w:val="34"/>
    <w:qFormat/>
    <w:rsid w:val="00946906"/>
    <w:pPr>
      <w:spacing w:after="0" w:line="240" w:lineRule="auto"/>
      <w:ind w:left="720"/>
      <w:contextualSpacing/>
    </w:pPr>
    <w:rPr>
      <w:rFonts w:ascii="Times New Roman" w:eastAsia="Times New Roman" w:hAnsi="Times New Roman" w:cs="Times New Roman"/>
      <w:sz w:val="24"/>
      <w:szCs w:val="24"/>
    </w:rPr>
  </w:style>
  <w:style w:type="character" w:customStyle="1" w:styleId="highlight2">
    <w:name w:val="highlight2"/>
    <w:basedOn w:val="DefaultParagraphFont"/>
    <w:rsid w:val="00946906"/>
  </w:style>
  <w:style w:type="character" w:customStyle="1" w:styleId="ListParagraphChar">
    <w:name w:val="List Paragraph Char"/>
    <w:aliases w:val="IBL List Paragraph Char,List Paragraph1 Char,Bullets Char,Heading Number Char,Дэд гарчиг Char,Numbered Paragraph Char,Гарчиг1 Char,Bullet Char,Apex - List Paragraph Char,Recommendation Char,List Paragraph11 Char,列出段落3 Char,列出段落1 Char"/>
    <w:link w:val="ListParagraph"/>
    <w:uiPriority w:val="34"/>
    <w:qFormat/>
    <w:locked/>
    <w:rsid w:val="00946906"/>
    <w:rPr>
      <w:rFonts w:ascii="Times New Roman" w:eastAsia="Times New Roman" w:hAnsi="Times New Roman" w:cs="Times New Roman"/>
      <w:sz w:val="24"/>
      <w:szCs w:val="24"/>
    </w:rPr>
  </w:style>
  <w:style w:type="paragraph" w:styleId="NormalWeb">
    <w:name w:val="Normal (Web)"/>
    <w:basedOn w:val="Normal"/>
    <w:link w:val="NormalWebChar"/>
    <w:uiPriority w:val="99"/>
    <w:unhideWhenUsed/>
    <w:qFormat/>
    <w:rsid w:val="007D37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ghead">
    <w:name w:val="msg_head"/>
    <w:basedOn w:val="Normal"/>
    <w:rsid w:val="007D37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C56E99"/>
    <w:rPr>
      <w:rFonts w:ascii="Times New Roman" w:eastAsia="Times New Roman" w:hAnsi="Times New Roman" w:cs="Times New Roman"/>
      <w:sz w:val="24"/>
      <w:szCs w:val="24"/>
    </w:rPr>
  </w:style>
  <w:style w:type="character" w:styleId="Strong">
    <w:name w:val="Strong"/>
    <w:basedOn w:val="DefaultParagraphFont"/>
    <w:uiPriority w:val="22"/>
    <w:qFormat/>
    <w:rsid w:val="00440662"/>
    <w:rPr>
      <w:b/>
      <w:bCs/>
    </w:rPr>
  </w:style>
  <w:style w:type="paragraph" w:styleId="FootnoteText">
    <w:name w:val="footnote text"/>
    <w:aliases w:val="Geneva 9,Font: Geneva 9,Boston 10,f,otnote Text,Footnote,ft,single space,footnote text,ALTS FOOTNOTE,FOOTNOTES,fn,Footnote Text Char1 Char,Footnote Text Char Char Char,Footnote Text Char1 Char Char Char,Footnote Text Char Char,Car Char,ADB"/>
    <w:basedOn w:val="Normal"/>
    <w:link w:val="FootnoteTextChar"/>
    <w:unhideWhenUsed/>
    <w:qFormat/>
    <w:rsid w:val="001015AE"/>
    <w:pPr>
      <w:spacing w:after="0" w:line="240" w:lineRule="auto"/>
    </w:pPr>
    <w:rPr>
      <w:kern w:val="2"/>
      <w:sz w:val="20"/>
      <w:szCs w:val="20"/>
      <w14:ligatures w14:val="standardContextual"/>
    </w:rPr>
  </w:style>
  <w:style w:type="character" w:customStyle="1" w:styleId="FootnoteTextChar">
    <w:name w:val="Footnote Text Char"/>
    <w:aliases w:val="Geneva 9 Char,Font: Geneva 9 Char,Boston 10 Char,f Char,otnote Text Char,Footnote Char,ft Char,single space Char,footnote text Char,ALTS FOOTNOTE Char,FOOTNOTES Char,fn Char,Footnote Text Char1 Char Char,Footnote Text Char Char Char1"/>
    <w:basedOn w:val="DefaultParagraphFont"/>
    <w:link w:val="FootnoteText"/>
    <w:rsid w:val="001015AE"/>
    <w:rPr>
      <w:kern w:val="2"/>
      <w:sz w:val="20"/>
      <w:szCs w:val="20"/>
      <w14:ligatures w14:val="standardContextual"/>
    </w:rPr>
  </w:style>
  <w:style w:type="character" w:styleId="FootnoteReference">
    <w:name w:val="footnote reference"/>
    <w:aliases w:val="BVI fnr Char Car1 Car Char Char Char,BVI fnr Char Car Car Char Char Char,ftref Char Car Car Char Char Char,BVI fnr Char Car Char Char Car Car Char Char Char,ftref,BVI fnr,16 Point,fr, BVI fnr Char Car1 Car Char Char Char"/>
    <w:link w:val="BVIfnrCharCar1CarCharChar"/>
    <w:uiPriority w:val="99"/>
    <w:unhideWhenUsed/>
    <w:qFormat/>
    <w:rsid w:val="001015AE"/>
    <w:rPr>
      <w:vertAlign w:val="superscript"/>
    </w:rPr>
  </w:style>
  <w:style w:type="paragraph" w:customStyle="1" w:styleId="Default">
    <w:name w:val="Default"/>
    <w:rsid w:val="003F16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ragraph">
    <w:name w:val="Paragraph"/>
    <w:basedOn w:val="List"/>
    <w:rsid w:val="00E40957"/>
    <w:pPr>
      <w:tabs>
        <w:tab w:val="left" w:pos="0"/>
        <w:tab w:val="left" w:pos="720"/>
        <w:tab w:val="left" w:pos="1008"/>
        <w:tab w:val="left" w:pos="1440"/>
      </w:tabs>
      <w:autoSpaceDE w:val="0"/>
      <w:autoSpaceDN w:val="0"/>
      <w:spacing w:before="60" w:after="0" w:line="240" w:lineRule="auto"/>
      <w:ind w:left="0" w:firstLine="720"/>
      <w:contextualSpacing w:val="0"/>
    </w:pPr>
    <w:rPr>
      <w:rFonts w:ascii="Arial Mon" w:eastAsia="Times New Roman" w:hAnsi="Arial Mon" w:cs="Arial Mon"/>
      <w:noProof/>
      <w:sz w:val="18"/>
      <w:szCs w:val="18"/>
    </w:rPr>
  </w:style>
  <w:style w:type="paragraph" w:styleId="List">
    <w:name w:val="List"/>
    <w:basedOn w:val="Normal"/>
    <w:uiPriority w:val="99"/>
    <w:semiHidden/>
    <w:unhideWhenUsed/>
    <w:rsid w:val="00E40957"/>
    <w:pPr>
      <w:ind w:left="360" w:hanging="360"/>
      <w:contextualSpacing/>
    </w:pPr>
  </w:style>
  <w:style w:type="paragraph" w:styleId="Header">
    <w:name w:val="header"/>
    <w:basedOn w:val="Normal"/>
    <w:link w:val="HeaderChar"/>
    <w:uiPriority w:val="99"/>
    <w:unhideWhenUsed/>
    <w:rsid w:val="007F43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38C"/>
  </w:style>
  <w:style w:type="paragraph" w:styleId="Footer">
    <w:name w:val="footer"/>
    <w:basedOn w:val="Normal"/>
    <w:link w:val="FooterChar"/>
    <w:uiPriority w:val="99"/>
    <w:unhideWhenUsed/>
    <w:rsid w:val="007F43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38C"/>
  </w:style>
  <w:style w:type="paragraph" w:styleId="ListNumber">
    <w:name w:val="List Number"/>
    <w:basedOn w:val="Normal"/>
    <w:uiPriority w:val="99"/>
    <w:unhideWhenUsed/>
    <w:rsid w:val="00F92942"/>
    <w:pPr>
      <w:numPr>
        <w:numId w:val="4"/>
      </w:numPr>
      <w:contextualSpacing/>
    </w:pPr>
  </w:style>
  <w:style w:type="paragraph" w:customStyle="1" w:styleId="BVIfnrCharCar1CarCharChar">
    <w:name w:val="BVI fnr Char Car1 Car Char Char"/>
    <w:aliases w:val="BVI fnr Char Car Car Char Char,ftref Char Car Car Char Char,BVI fnr Char Car Char Char Car Car Char Char,ftref Char Car Char Char Car Car Char Char, BVI fnr Char Car Char Char Car Car Char Char"/>
    <w:basedOn w:val="Normal"/>
    <w:next w:val="Normal"/>
    <w:link w:val="FootnoteReference"/>
    <w:uiPriority w:val="99"/>
    <w:rsid w:val="00F92942"/>
    <w:pPr>
      <w:spacing w:after="120" w:line="240" w:lineRule="exact"/>
      <w:ind w:left="714" w:hanging="357"/>
      <w:jc w:val="both"/>
    </w:pPr>
    <w:rPr>
      <w:vertAlign w:val="superscript"/>
    </w:rPr>
  </w:style>
  <w:style w:type="paragraph" w:styleId="PlainText">
    <w:name w:val="Plain Text"/>
    <w:basedOn w:val="Normal"/>
    <w:link w:val="PlainTextChar"/>
    <w:uiPriority w:val="99"/>
    <w:rsid w:val="00F92942"/>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F92942"/>
    <w:rPr>
      <w:rFonts w:ascii="Courier New" w:eastAsia="Times New Roman" w:hAnsi="Courier New" w:cs="Times New Roman"/>
      <w:sz w:val="20"/>
      <w:szCs w:val="20"/>
    </w:rPr>
  </w:style>
  <w:style w:type="table" w:styleId="TableGrid">
    <w:name w:val="Table Grid"/>
    <w:basedOn w:val="TableNormal"/>
    <w:uiPriority w:val="39"/>
    <w:rsid w:val="00E8166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D79F8"/>
    <w:pPr>
      <w:spacing w:after="0" w:line="240" w:lineRule="auto"/>
    </w:pPr>
  </w:style>
  <w:style w:type="paragraph" w:styleId="BalloonText">
    <w:name w:val="Balloon Text"/>
    <w:basedOn w:val="Normal"/>
    <w:link w:val="BalloonTextChar"/>
    <w:uiPriority w:val="99"/>
    <w:semiHidden/>
    <w:unhideWhenUsed/>
    <w:rsid w:val="005242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2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95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958</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S.Enkhjargal</dc:creator>
  <cp:keywords/>
  <dc:description/>
  <cp:lastModifiedBy>DELL</cp:lastModifiedBy>
  <cp:revision>3</cp:revision>
  <cp:lastPrinted>2026-03-03T00:45:00Z</cp:lastPrinted>
  <dcterms:created xsi:type="dcterms:W3CDTF">2026-03-09T07:03:00Z</dcterms:created>
  <dcterms:modified xsi:type="dcterms:W3CDTF">2026-03-09T07:59:00Z</dcterms:modified>
</cp:coreProperties>
</file>